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C6DFA3">
      <w:pPr>
        <w:pStyle w:val="2"/>
        <w:bidi w:val="0"/>
        <w:rPr>
          <w:rFonts w:hint="eastAsia"/>
        </w:rPr>
      </w:pPr>
      <w:r>
        <w:rPr>
          <w:rFonts w:hint="eastAsia"/>
        </w:rPr>
        <w:t>华电阜康热电有限公司入厂煤煤质异常管理办法</w:t>
      </w:r>
      <w:bookmarkStart w:id="0" w:name="_Toc369702854"/>
    </w:p>
    <w:p w14:paraId="14DA3B48">
      <w:pPr>
        <w:pStyle w:val="3"/>
        <w:numPr>
          <w:ilvl w:val="0"/>
          <w:numId w:val="1"/>
        </w:numPr>
        <w:bidi w:val="0"/>
        <w:rPr>
          <w:rFonts w:hint="eastAsia"/>
        </w:rPr>
      </w:pPr>
      <w:r>
        <w:rPr>
          <w:rFonts w:hint="eastAsia"/>
        </w:rPr>
        <w:t xml:space="preserve"> 总  则</w:t>
      </w:r>
    </w:p>
    <w:bookmarkEnd w:id="0"/>
    <w:p w14:paraId="7FAFC6A3">
      <w:pPr>
        <w:numPr>
          <w:ilvl w:val="0"/>
          <w:numId w:val="2"/>
        </w:numPr>
        <w:bidi w:val="0"/>
        <w:rPr>
          <w:rFonts w:hint="eastAsia"/>
        </w:rPr>
      </w:pPr>
      <w:r>
        <w:rPr>
          <w:rFonts w:hint="eastAsia"/>
          <w:lang w:eastAsia="zh-CN"/>
        </w:rPr>
        <w:t>为进一步</w:t>
      </w:r>
      <w:r>
        <w:rPr>
          <w:rFonts w:hint="eastAsia"/>
          <w:lang w:val="en-US" w:eastAsia="zh-CN"/>
        </w:rPr>
        <w:t>加强</w:t>
      </w:r>
      <w:r>
        <w:rPr>
          <w:rFonts w:hint="eastAsia"/>
          <w:lang w:eastAsia="zh-CN"/>
        </w:rPr>
        <w:t>华电</w:t>
      </w:r>
      <w:r>
        <w:rPr>
          <w:rFonts w:hint="eastAsia"/>
          <w:lang w:val="en-US" w:eastAsia="zh-CN"/>
        </w:rPr>
        <w:t>阜康热电有限公司（以下简称阜康热电公司）入厂煤煤质异常管理，规范处理流程，切实保障入厂煤质量，确保入厂煤验收工作严格遵循公平、公正、规范、有序的原则，根据华电新疆发电有限公司的相关规定，特制定本管理办法。</w:t>
      </w:r>
    </w:p>
    <w:p w14:paraId="06EC81F4">
      <w:pPr>
        <w:numPr>
          <w:ilvl w:val="0"/>
          <w:numId w:val="2"/>
        </w:numPr>
        <w:bidi w:val="0"/>
        <w:rPr>
          <w:rFonts w:hint="eastAsia"/>
        </w:rPr>
      </w:pPr>
      <w:r>
        <w:rPr>
          <w:rFonts w:hint="eastAsia"/>
          <w:lang w:val="en-US" w:eastAsia="zh-CN"/>
        </w:rPr>
        <w:t xml:space="preserve"> </w:t>
      </w:r>
      <w:r>
        <w:rPr>
          <w:rFonts w:hint="eastAsia"/>
        </w:rPr>
        <w:t>本</w:t>
      </w:r>
      <w:r>
        <w:rPr>
          <w:rFonts w:hint="eastAsia"/>
          <w:lang w:val="en-US" w:eastAsia="zh-CN"/>
        </w:rPr>
        <w:t>办法</w:t>
      </w:r>
      <w:r>
        <w:rPr>
          <w:rFonts w:hint="eastAsia"/>
        </w:rPr>
        <w:t>适用于阜康热电公司入厂煤</w:t>
      </w:r>
      <w:r>
        <w:rPr>
          <w:rFonts w:hint="eastAsia"/>
          <w:lang w:val="en-US" w:eastAsia="zh-CN"/>
        </w:rPr>
        <w:t>验收中发现的煤质异常处理的管理工作。</w:t>
      </w:r>
    </w:p>
    <w:p w14:paraId="7125B9ED">
      <w:pPr>
        <w:pStyle w:val="3"/>
        <w:keepNext/>
        <w:keepLines/>
        <w:widowControl w:val="0"/>
        <w:bidi w:val="0"/>
        <w:spacing w:before="100" w:beforeLines="100" w:beforeAutospacing="0" w:afterLines="0" w:afterAutospacing="0" w:line="560" w:lineRule="exact"/>
        <w:ind w:firstLine="0" w:firstLineChars="0"/>
        <w:jc w:val="center"/>
        <w:outlineLvl w:val="1"/>
        <w:rPr>
          <w:rFonts w:ascii="Arial" w:hAnsi="Arial" w:eastAsia="黑体" w:cs="仿宋_GB2312"/>
          <w:kern w:val="2"/>
          <w:sz w:val="32"/>
          <w:szCs w:val="32"/>
          <w:lang w:bidi="ar-SA"/>
        </w:rPr>
      </w:pPr>
      <w:r>
        <w:rPr>
          <w:rFonts w:ascii="Arial" w:hAnsi="Arial" w:eastAsia="黑体" w:cs="仿宋_GB2312"/>
          <w:kern w:val="2"/>
          <w:sz w:val="32"/>
          <w:szCs w:val="32"/>
          <w:lang w:bidi="ar-SA"/>
        </w:rPr>
        <w:t>第二章 职责分工</w:t>
      </w:r>
    </w:p>
    <w:p w14:paraId="744F34E9">
      <w:pPr>
        <w:widowControl w:val="0"/>
        <w:bidi w:val="0"/>
        <w:spacing w:line="560" w:lineRule="exact"/>
        <w:ind w:firstLine="643" w:firstLineChars="200"/>
        <w:jc w:val="both"/>
        <w:rPr>
          <w:rFonts w:hint="eastAsia"/>
          <w:lang w:val="en-US" w:eastAsia="zh-CN"/>
        </w:rPr>
      </w:pPr>
      <w:r>
        <w:rPr>
          <w:rFonts w:ascii="仿宋_GB2312" w:hAnsi="仿宋_GB2312" w:eastAsia="仿宋_GB2312" w:cs="仿宋_GB2312"/>
          <w:b/>
          <w:bCs/>
          <w:kern w:val="2"/>
          <w:sz w:val="32"/>
          <w:szCs w:val="32"/>
          <w:lang w:bidi="ar-SA"/>
        </w:rPr>
        <w:t>第</w:t>
      </w:r>
      <w:r>
        <w:rPr>
          <w:rFonts w:hint="eastAsia" w:cs="仿宋_GB2312"/>
          <w:b/>
          <w:bCs/>
          <w:kern w:val="2"/>
          <w:sz w:val="32"/>
          <w:szCs w:val="32"/>
          <w:lang w:val="en-US" w:eastAsia="zh-CN" w:bidi="ar-SA"/>
        </w:rPr>
        <w:t>三</w:t>
      </w:r>
      <w:r>
        <w:rPr>
          <w:rFonts w:ascii="仿宋_GB2312" w:hAnsi="仿宋_GB2312" w:eastAsia="仿宋_GB2312" w:cs="仿宋_GB2312"/>
          <w:b/>
          <w:bCs/>
          <w:kern w:val="2"/>
          <w:sz w:val="32"/>
          <w:szCs w:val="32"/>
          <w:lang w:bidi="ar-SA"/>
        </w:rPr>
        <w:t xml:space="preserve">条 </w:t>
      </w:r>
      <w:r>
        <w:rPr>
          <w:rFonts w:hint="eastAsia"/>
          <w:lang w:val="en-US" w:eastAsia="zh-CN"/>
        </w:rPr>
        <w:t>入厂煤质量异常的管理工作，在阜康热电公司燃料领导小组的指导下进行。下设燃料质量管理小组，由负责生产的副总经理任组长，生产技术部主任任副组长。生产技术部、燃供部、计划部（职能监督）、运行部相关人员依照各自职责，确保入厂煤验收管理得到有效执行。</w:t>
      </w:r>
    </w:p>
    <w:p w14:paraId="461F16F8">
      <w:pPr>
        <w:bidi w:val="0"/>
      </w:pPr>
      <w:r>
        <w:rPr>
          <w:rFonts w:hint="eastAsia"/>
          <w:b/>
          <w:bCs/>
        </w:rPr>
        <w:t>第</w:t>
      </w:r>
      <w:r>
        <w:rPr>
          <w:rFonts w:hint="eastAsia"/>
          <w:b/>
          <w:bCs/>
          <w:lang w:val="en-US" w:eastAsia="zh-CN"/>
        </w:rPr>
        <w:t>四</w:t>
      </w:r>
      <w:r>
        <w:rPr>
          <w:rFonts w:hint="eastAsia"/>
          <w:b/>
          <w:bCs/>
        </w:rPr>
        <w:t>条</w:t>
      </w:r>
      <w:r>
        <w:rPr>
          <w:rFonts w:hint="eastAsia"/>
          <w:b/>
          <w:bCs/>
          <w:lang w:val="en-US" w:eastAsia="zh-CN"/>
        </w:rPr>
        <w:t xml:space="preserve"> </w:t>
      </w:r>
      <w:r>
        <w:t xml:space="preserve"> </w:t>
      </w:r>
      <w:r>
        <w:rPr>
          <w:rFonts w:hint="eastAsia"/>
        </w:rPr>
        <w:t>入厂煤煤质异常职责和分工</w:t>
      </w:r>
    </w:p>
    <w:p w14:paraId="3E72BD90">
      <w:pPr>
        <w:bidi w:val="0"/>
        <w:rPr>
          <w:rFonts w:hint="eastAsia"/>
          <w:lang w:eastAsia="zh-CN"/>
        </w:rPr>
      </w:pPr>
      <w:r>
        <w:rPr>
          <w:rFonts w:hint="eastAsia"/>
        </w:rPr>
        <w:t>（一）</w:t>
      </w:r>
      <w:r>
        <w:t>燃料质量</w:t>
      </w:r>
      <w:r>
        <w:rPr>
          <w:rFonts w:hint="eastAsia"/>
          <w:lang w:val="en-US" w:eastAsia="zh-CN"/>
        </w:rPr>
        <w:t>管理小组</w:t>
      </w:r>
      <w:r>
        <w:t>拥有对进入厂区的煤炭运输车辆中出现的</w:t>
      </w:r>
      <w:r>
        <w:rPr>
          <w:rFonts w:hint="eastAsia"/>
          <w:lang w:val="en-US" w:eastAsia="zh-CN"/>
        </w:rPr>
        <w:t>煤质异常</w:t>
      </w:r>
      <w:r>
        <w:t>的处置权。</w:t>
      </w:r>
    </w:p>
    <w:p w14:paraId="13DC9723">
      <w:pPr>
        <w:bidi w:val="0"/>
        <w:rPr>
          <w:rFonts w:hint="eastAsia"/>
        </w:rPr>
      </w:pPr>
      <w:r>
        <w:rPr>
          <w:rFonts w:hint="eastAsia"/>
        </w:rPr>
        <w:t>（二）燃料质量管理小组负责对入厂煤车</w:t>
      </w:r>
      <w:r>
        <w:rPr>
          <w:rFonts w:hint="eastAsia"/>
          <w:lang w:val="en-US" w:eastAsia="zh-CN"/>
        </w:rPr>
        <w:t>煤质异常</w:t>
      </w:r>
      <w:r>
        <w:rPr>
          <w:rFonts w:hint="eastAsia"/>
        </w:rPr>
        <w:t>处理过程中相关的协调、监督和考核工作。</w:t>
      </w:r>
    </w:p>
    <w:p w14:paraId="684A207C">
      <w:pPr>
        <w:bidi w:val="0"/>
        <w:rPr>
          <w:rFonts w:hint="eastAsia"/>
        </w:rPr>
      </w:pPr>
      <w:r>
        <w:rPr>
          <w:rFonts w:hint="eastAsia"/>
        </w:rPr>
        <w:t>（三）</w:t>
      </w:r>
      <w:r>
        <w:rPr>
          <w:rFonts w:hint="eastAsia"/>
          <w:lang w:val="en-US" w:eastAsia="zh-CN"/>
        </w:rPr>
        <w:t>生产技术部负责入厂煤异常处理的组织、协调工作。</w:t>
      </w:r>
    </w:p>
    <w:p w14:paraId="1B3B2B93">
      <w:pPr>
        <w:bidi w:val="0"/>
        <w:rPr>
          <w:rFonts w:hint="eastAsia"/>
          <w:lang w:eastAsia="zh-CN"/>
        </w:rPr>
      </w:pPr>
      <w:r>
        <w:rPr>
          <w:rFonts w:hint="eastAsia"/>
          <w:lang w:eastAsia="zh-CN"/>
        </w:rPr>
        <w:t>（</w:t>
      </w:r>
      <w:r>
        <w:rPr>
          <w:rFonts w:hint="eastAsia"/>
          <w:lang w:val="en-US" w:eastAsia="zh-CN"/>
        </w:rPr>
        <w:t>四</w:t>
      </w:r>
      <w:r>
        <w:rPr>
          <w:rFonts w:hint="eastAsia"/>
          <w:lang w:eastAsia="zh-CN"/>
        </w:rPr>
        <w:t>）</w:t>
      </w:r>
      <w:r>
        <w:rPr>
          <w:rFonts w:hint="eastAsia"/>
          <w:lang w:val="en-US" w:eastAsia="zh-CN"/>
        </w:rPr>
        <w:t>计划部（职能监督）负责对入厂煤异常处理进行全过程监督、检查。</w:t>
      </w:r>
    </w:p>
    <w:p w14:paraId="5F98630A">
      <w:pPr>
        <w:bidi w:val="0"/>
        <w:rPr>
          <w:rFonts w:hint="eastAsia"/>
        </w:rPr>
      </w:pPr>
      <w:r>
        <w:rPr>
          <w:rFonts w:hint="eastAsia"/>
          <w:lang w:eastAsia="zh-CN"/>
        </w:rPr>
        <w:t>（</w:t>
      </w:r>
      <w:r>
        <w:rPr>
          <w:rFonts w:hint="eastAsia"/>
          <w:lang w:val="en-US" w:eastAsia="zh-CN"/>
        </w:rPr>
        <w:t>五</w:t>
      </w:r>
      <w:r>
        <w:rPr>
          <w:rFonts w:hint="eastAsia"/>
          <w:lang w:eastAsia="zh-CN"/>
        </w:rPr>
        <w:t>）</w:t>
      </w:r>
      <w:r>
        <w:rPr>
          <w:rFonts w:hint="eastAsia"/>
        </w:rPr>
        <w:t>运行部负责</w:t>
      </w:r>
      <w:r>
        <w:rPr>
          <w:rFonts w:hint="eastAsia"/>
          <w:lang w:val="en-US" w:eastAsia="zh-CN"/>
        </w:rPr>
        <w:t>入厂煤质量验收</w:t>
      </w:r>
      <w:r>
        <w:rPr>
          <w:rFonts w:hint="eastAsia"/>
        </w:rPr>
        <w:t>，</w:t>
      </w:r>
      <w:r>
        <w:rPr>
          <w:rFonts w:hint="eastAsia"/>
          <w:lang w:val="en-US" w:eastAsia="zh-CN"/>
        </w:rPr>
        <w:t>发现煤质异常时</w:t>
      </w:r>
      <w:r>
        <w:rPr>
          <w:rFonts w:hint="eastAsia"/>
        </w:rPr>
        <w:t>及时通知燃料质量管理小组成员到现场处理。</w:t>
      </w:r>
      <w:r>
        <w:rPr>
          <w:rFonts w:hint="eastAsia"/>
          <w:lang w:val="en-US" w:eastAsia="zh-CN"/>
        </w:rPr>
        <w:t>并负责异常煤质处理结果在FPM系统上录入。</w:t>
      </w:r>
    </w:p>
    <w:p w14:paraId="22445D23">
      <w:pPr>
        <w:bidi w:val="0"/>
        <w:rPr>
          <w:rFonts w:hint="eastAsia" w:eastAsia="仿宋_GB2312"/>
          <w:lang w:eastAsia="zh-CN"/>
        </w:rPr>
      </w:pPr>
      <w:r>
        <w:rPr>
          <w:rFonts w:hint="eastAsia"/>
          <w:lang w:eastAsia="zh-CN"/>
        </w:rPr>
        <w:t>（</w:t>
      </w:r>
      <w:r>
        <w:rPr>
          <w:rFonts w:hint="eastAsia"/>
          <w:lang w:val="en-US" w:eastAsia="zh-CN"/>
        </w:rPr>
        <w:t>六</w:t>
      </w:r>
      <w:r>
        <w:rPr>
          <w:rFonts w:hint="eastAsia"/>
          <w:lang w:eastAsia="zh-CN"/>
        </w:rPr>
        <w:t>）</w:t>
      </w:r>
      <w:r>
        <w:rPr>
          <w:rFonts w:hint="eastAsia"/>
          <w:lang w:val="en-US" w:eastAsia="zh-CN"/>
        </w:rPr>
        <w:t>燃供部负责在出现煤质异常时协调供应商到场确认，并在结算时按照处理结果执行。</w:t>
      </w:r>
    </w:p>
    <w:p w14:paraId="0D70EF66">
      <w:pPr>
        <w:pStyle w:val="3"/>
        <w:bidi w:val="0"/>
      </w:pPr>
      <w:r>
        <w:rPr>
          <w:rFonts w:hint="eastAsia"/>
        </w:rPr>
        <w:t>第</w:t>
      </w:r>
      <w:r>
        <w:rPr>
          <w:rFonts w:hint="eastAsia"/>
          <w:lang w:val="en-US" w:eastAsia="zh-CN"/>
        </w:rPr>
        <w:t>三</w:t>
      </w:r>
      <w:r>
        <w:rPr>
          <w:rFonts w:hint="eastAsia"/>
        </w:rPr>
        <w:t>章  煤质异常</w:t>
      </w:r>
      <w:r>
        <w:rPr>
          <w:rFonts w:hint="eastAsia"/>
          <w:lang w:val="en-US" w:eastAsia="zh-CN"/>
        </w:rPr>
        <w:t>的</w:t>
      </w:r>
      <w:r>
        <w:rPr>
          <w:rFonts w:hint="eastAsia"/>
        </w:rPr>
        <w:t>标准</w:t>
      </w:r>
    </w:p>
    <w:p w14:paraId="2A206F80">
      <w:pPr>
        <w:bidi w:val="0"/>
        <w:rPr>
          <w:rFonts w:hint="eastAsia"/>
          <w:lang w:val="en-US" w:eastAsia="zh-CN"/>
        </w:rPr>
      </w:pPr>
      <w:r>
        <w:rPr>
          <w:rFonts w:hint="eastAsia"/>
          <w:b/>
          <w:bCs/>
          <w:lang w:val="en-US" w:eastAsia="zh-CN"/>
        </w:rPr>
        <w:t>第五条</w:t>
      </w:r>
      <w:r>
        <w:rPr>
          <w:rFonts w:hint="eastAsia"/>
          <w:lang w:val="en-US" w:eastAsia="zh-CN"/>
        </w:rPr>
        <w:t xml:space="preserve">  入厂煤煤质异常是指入厂煤煤质主要指标偏离合同约定或入厂煤验收时目测煤质明显不符合要求，机械采样不能代表真实入厂煤质的情况。入厂煤煤质主要指标偏离合同约定时应按合同约定处理。结合入厂煤验收流程，本管理办法中的入厂煤煤质异常主要是指以下情形：</w:t>
      </w:r>
    </w:p>
    <w:p w14:paraId="6E14AD33">
      <w:pPr>
        <w:bidi w:val="0"/>
        <w:rPr>
          <w:rFonts w:hint="eastAsia"/>
          <w:lang w:val="en-US" w:eastAsia="zh-CN"/>
        </w:rPr>
      </w:pPr>
      <w:r>
        <w:rPr>
          <w:rFonts w:hint="eastAsia"/>
          <w:lang w:val="en-US" w:eastAsia="zh-CN"/>
        </w:rPr>
        <w:t>（一）单车含有较多石块或其他杂物（目测50mm以上石块或杂物超过10个）。</w:t>
      </w:r>
    </w:p>
    <w:p w14:paraId="3D49D673">
      <w:pPr>
        <w:bidi w:val="0"/>
        <w:rPr>
          <w:rFonts w:hint="eastAsia"/>
          <w:lang w:val="en-US" w:eastAsia="zh-CN"/>
        </w:rPr>
      </w:pPr>
      <w:r>
        <w:rPr>
          <w:rFonts w:hint="eastAsia"/>
          <w:lang w:val="en-US" w:eastAsia="zh-CN"/>
        </w:rPr>
        <w:t>（二）入厂煤水分明显高于正常来煤。（车厢淌水或造成采样机堵塞情况）。</w:t>
      </w:r>
    </w:p>
    <w:p w14:paraId="72E65508">
      <w:pPr>
        <w:bidi w:val="0"/>
        <w:rPr>
          <w:rFonts w:hint="eastAsia"/>
          <w:lang w:val="en-US" w:eastAsia="zh-CN"/>
        </w:rPr>
      </w:pPr>
      <w:r>
        <w:rPr>
          <w:rFonts w:hint="eastAsia"/>
          <w:lang w:val="en-US" w:eastAsia="zh-CN"/>
        </w:rPr>
        <w:t>（三）单车入厂煤存在自燃现象。</w:t>
      </w:r>
    </w:p>
    <w:p w14:paraId="59C10AA0">
      <w:pPr>
        <w:bidi w:val="0"/>
        <w:rPr>
          <w:rFonts w:hint="eastAsia"/>
          <w:lang w:val="en-US" w:eastAsia="zh-CN"/>
        </w:rPr>
      </w:pPr>
      <w:r>
        <w:rPr>
          <w:rFonts w:hint="eastAsia"/>
          <w:lang w:val="en-US" w:eastAsia="zh-CN"/>
        </w:rPr>
        <w:t>（四）单车入厂煤装车出现分层、包芯、铺底、分段等现象。</w:t>
      </w:r>
    </w:p>
    <w:p w14:paraId="78F2C798">
      <w:pPr>
        <w:bidi w:val="0"/>
        <w:ind w:left="0" w:leftChars="0" w:firstLine="643" w:firstLineChars="200"/>
        <w:rPr>
          <w:rFonts w:hint="eastAsia"/>
          <w:lang w:val="en-US" w:eastAsia="zh-CN"/>
        </w:rPr>
      </w:pPr>
      <w:r>
        <w:rPr>
          <w:rFonts w:hint="eastAsia"/>
          <w:b/>
          <w:bCs/>
          <w:lang w:val="en-US" w:eastAsia="zh-CN"/>
        </w:rPr>
        <w:t>第六条</w:t>
      </w:r>
      <w:r>
        <w:rPr>
          <w:rFonts w:hint="eastAsia"/>
          <w:lang w:val="en-US" w:eastAsia="zh-CN"/>
        </w:rPr>
        <w:t xml:space="preserve">  异常煤的处理：</w:t>
      </w:r>
    </w:p>
    <w:p w14:paraId="14485DDA">
      <w:pPr>
        <w:bidi w:val="0"/>
        <w:rPr>
          <w:rFonts w:hint="eastAsia"/>
          <w:lang w:val="en-US" w:eastAsia="zh-CN"/>
        </w:rPr>
      </w:pPr>
      <w:r>
        <w:rPr>
          <w:rFonts w:hint="eastAsia"/>
          <w:lang w:val="en-US" w:eastAsia="zh-CN"/>
        </w:rPr>
        <w:t>（一）入厂煤异常煤质处理应坚持公开、公平、公正的原则。</w:t>
      </w:r>
    </w:p>
    <w:p w14:paraId="7F7569FE">
      <w:pPr>
        <w:bidi w:val="0"/>
        <w:rPr>
          <w:rFonts w:hint="eastAsia"/>
          <w:lang w:val="en-US" w:eastAsia="zh-CN"/>
        </w:rPr>
      </w:pPr>
      <w:r>
        <w:rPr>
          <w:rFonts w:hint="eastAsia"/>
          <w:lang w:val="en-US" w:eastAsia="zh-CN"/>
        </w:rPr>
        <w:t>（二）单车含有较多石块或其他杂物情况按照扣吨处理，具体扣吨情况如下：</w:t>
      </w:r>
    </w:p>
    <w:tbl>
      <w:tblPr>
        <w:tblStyle w:val="9"/>
        <w:tblW w:w="8526"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133"/>
        <w:gridCol w:w="2129"/>
        <w:gridCol w:w="2130"/>
        <w:gridCol w:w="2134"/>
      </w:tblGrid>
      <w:tr w14:paraId="07CB0DC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1" w:hRule="atLeast"/>
          <w:jc w:val="center"/>
        </w:trPr>
        <w:tc>
          <w:tcPr>
            <w:tcW w:w="2133" w:type="dxa"/>
            <w:vAlign w:val="top"/>
          </w:tcPr>
          <w:p w14:paraId="7C384D8F">
            <w:pPr>
              <w:bidi w:val="0"/>
              <w:rPr>
                <w:rFonts w:hint="eastAsia"/>
                <w:lang w:val="en-US" w:eastAsia="zh-CN"/>
              </w:rPr>
            </w:pPr>
            <w:r>
              <w:rPr>
                <w:rFonts w:hint="eastAsia"/>
                <w:lang w:val="en-US" w:eastAsia="zh-CN"/>
              </w:rPr>
              <w:t>粒度</w:t>
            </w:r>
          </w:p>
        </w:tc>
        <w:tc>
          <w:tcPr>
            <w:tcW w:w="2129" w:type="dxa"/>
            <w:vAlign w:val="top"/>
          </w:tcPr>
          <w:p w14:paraId="06F8BBE6">
            <w:pPr>
              <w:bidi w:val="0"/>
              <w:rPr>
                <w:rFonts w:hint="eastAsia"/>
                <w:lang w:val="en-US" w:eastAsia="zh-CN"/>
              </w:rPr>
            </w:pPr>
            <w:r>
              <w:rPr>
                <w:rFonts w:hint="eastAsia"/>
                <w:lang w:val="en-US" w:eastAsia="zh-CN"/>
              </w:rPr>
              <w:t>100-300mm</w:t>
            </w:r>
          </w:p>
        </w:tc>
        <w:tc>
          <w:tcPr>
            <w:tcW w:w="2130" w:type="dxa"/>
            <w:vAlign w:val="top"/>
          </w:tcPr>
          <w:p w14:paraId="49DECF46">
            <w:pPr>
              <w:bidi w:val="0"/>
              <w:rPr>
                <w:rFonts w:hint="eastAsia"/>
                <w:lang w:val="en-US" w:eastAsia="zh-CN"/>
              </w:rPr>
            </w:pPr>
            <w:r>
              <w:rPr>
                <w:rFonts w:hint="eastAsia"/>
                <w:lang w:val="en-US" w:eastAsia="zh-CN"/>
              </w:rPr>
              <w:t>300-500mm</w:t>
            </w:r>
          </w:p>
        </w:tc>
        <w:tc>
          <w:tcPr>
            <w:tcW w:w="2134" w:type="dxa"/>
            <w:vAlign w:val="top"/>
          </w:tcPr>
          <w:p w14:paraId="78B8C7E4">
            <w:pPr>
              <w:bidi w:val="0"/>
              <w:rPr>
                <w:rFonts w:hint="eastAsia"/>
                <w:lang w:val="en-US" w:eastAsia="zh-CN"/>
              </w:rPr>
            </w:pPr>
            <w:r>
              <w:rPr>
                <w:rFonts w:hint="eastAsia"/>
                <w:lang w:val="en-US" w:eastAsia="zh-CN"/>
              </w:rPr>
              <w:t>≥500mm</w:t>
            </w:r>
          </w:p>
        </w:tc>
      </w:tr>
      <w:tr w14:paraId="2B0BCCA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1" w:hRule="atLeast"/>
          <w:jc w:val="center"/>
        </w:trPr>
        <w:tc>
          <w:tcPr>
            <w:tcW w:w="2133" w:type="dxa"/>
            <w:vAlign w:val="top"/>
          </w:tcPr>
          <w:p w14:paraId="337FE101">
            <w:pPr>
              <w:bidi w:val="0"/>
              <w:rPr>
                <w:rFonts w:hint="eastAsia"/>
                <w:lang w:val="en-US" w:eastAsia="zh-CN"/>
              </w:rPr>
            </w:pPr>
            <w:r>
              <w:rPr>
                <w:rFonts w:hint="eastAsia"/>
                <w:lang w:val="en-US" w:eastAsia="zh-CN"/>
              </w:rPr>
              <w:t>扣吨标准</w:t>
            </w:r>
          </w:p>
        </w:tc>
        <w:tc>
          <w:tcPr>
            <w:tcW w:w="2129" w:type="dxa"/>
            <w:vAlign w:val="top"/>
          </w:tcPr>
          <w:p w14:paraId="33816B43">
            <w:pPr>
              <w:bidi w:val="0"/>
              <w:rPr>
                <w:rFonts w:hint="eastAsia"/>
                <w:lang w:val="en-US" w:eastAsia="zh-CN"/>
              </w:rPr>
            </w:pPr>
            <w:r>
              <w:rPr>
                <w:rFonts w:hint="eastAsia"/>
                <w:lang w:val="en-US" w:eastAsia="zh-CN"/>
              </w:rPr>
              <w:t>1吨/块</w:t>
            </w:r>
          </w:p>
        </w:tc>
        <w:tc>
          <w:tcPr>
            <w:tcW w:w="2130" w:type="dxa"/>
            <w:vAlign w:val="top"/>
          </w:tcPr>
          <w:p w14:paraId="2DE950C7">
            <w:pPr>
              <w:bidi w:val="0"/>
              <w:rPr>
                <w:rFonts w:hint="eastAsia"/>
                <w:lang w:val="en-US" w:eastAsia="zh-CN"/>
              </w:rPr>
            </w:pPr>
            <w:r>
              <w:rPr>
                <w:rFonts w:hint="eastAsia"/>
                <w:lang w:val="en-US" w:eastAsia="zh-CN"/>
              </w:rPr>
              <w:t>2吨/块</w:t>
            </w:r>
          </w:p>
        </w:tc>
        <w:tc>
          <w:tcPr>
            <w:tcW w:w="2134" w:type="dxa"/>
            <w:vAlign w:val="top"/>
          </w:tcPr>
          <w:p w14:paraId="4F95CAC1">
            <w:pPr>
              <w:bidi w:val="0"/>
              <w:rPr>
                <w:rFonts w:hint="eastAsia"/>
                <w:lang w:val="en-US" w:eastAsia="zh-CN"/>
              </w:rPr>
            </w:pPr>
            <w:r>
              <w:rPr>
                <w:rFonts w:hint="eastAsia"/>
                <w:lang w:val="en-US" w:eastAsia="zh-CN"/>
              </w:rPr>
              <w:t>3吨/块</w:t>
            </w:r>
          </w:p>
        </w:tc>
      </w:tr>
    </w:tbl>
    <w:p w14:paraId="5A7CD75B">
      <w:pPr>
        <w:bidi w:val="0"/>
        <w:rPr>
          <w:rFonts w:hint="eastAsia"/>
          <w:lang w:val="en-US" w:eastAsia="zh-CN"/>
        </w:rPr>
      </w:pPr>
      <w:r>
        <w:rPr>
          <w:rFonts w:hint="eastAsia"/>
          <w:lang w:val="en-US" w:eastAsia="zh-CN"/>
        </w:rPr>
        <w:t>在进行扣吨的同时，停止该供应商当日进煤计划，并要求供应商调整煤质，每月发生两次以上（不含两次）情况时，对该供应商进行阶段性退出6个月处理。</w:t>
      </w:r>
    </w:p>
    <w:p w14:paraId="4C5223BC">
      <w:pPr>
        <w:bidi w:val="0"/>
        <w:rPr>
          <w:rFonts w:hint="eastAsia"/>
          <w:lang w:val="en-US" w:eastAsia="zh-CN"/>
        </w:rPr>
      </w:pPr>
      <w:r>
        <w:rPr>
          <w:rFonts w:hint="eastAsia"/>
          <w:lang w:val="en-US" w:eastAsia="zh-CN"/>
        </w:rPr>
        <w:t>（三）入厂煤水分明显高于正常来煤情况对该车不予结算处理，停止该供应商当日进煤计划，并要求供应商调整煤质，每月发生两次以上（不含两次）情况时，对该供应商进行阶段性退出6个月处理。</w:t>
      </w:r>
    </w:p>
    <w:p w14:paraId="0724DC4B">
      <w:pPr>
        <w:bidi w:val="0"/>
        <w:rPr>
          <w:rFonts w:hint="eastAsia"/>
          <w:lang w:val="en-US" w:eastAsia="zh-CN"/>
        </w:rPr>
      </w:pPr>
      <w:r>
        <w:rPr>
          <w:rFonts w:hint="eastAsia"/>
          <w:lang w:val="en-US" w:eastAsia="zh-CN"/>
        </w:rPr>
        <w:t>（四）单车入厂煤存在自燃情况按照该车退回处理，如卸车过 程中发现有自燃现象则该车不予结算。同时停止该供应商当日 进煤计划，并要求供应商调整煤质。</w:t>
      </w:r>
    </w:p>
    <w:p w14:paraId="0E1D4C22">
      <w:pPr>
        <w:bidi w:val="0"/>
        <w:rPr>
          <w:rFonts w:hint="eastAsia"/>
          <w:lang w:val="en-US" w:eastAsia="zh-CN"/>
        </w:rPr>
      </w:pPr>
      <w:r>
        <w:rPr>
          <w:rFonts w:hint="eastAsia"/>
          <w:lang w:val="en-US" w:eastAsia="zh-CN"/>
        </w:rPr>
        <w:t>（五）单车入厂煤装车出现分层、包芯、铺底、分段等情况时，若供应商认可，则确定为掺假使假；若供应商不认可，则共同对不同点位进行取样，如不同点位发热量化验结果偏差超过 2MJ/kg，视为掺假使假。掺假使假的，对供应商当日已入厂燃煤不予结算，停止该供应商后续供应计划，并进行永久退出处理，列入供应商黑名单。</w:t>
      </w:r>
    </w:p>
    <w:p w14:paraId="752F7739">
      <w:pPr>
        <w:pStyle w:val="3"/>
        <w:bidi w:val="0"/>
        <w:rPr>
          <w:rFonts w:hint="eastAsia"/>
        </w:rPr>
      </w:pPr>
      <w:r>
        <w:rPr>
          <w:rFonts w:hint="eastAsia"/>
        </w:rPr>
        <w:t>第</w:t>
      </w:r>
      <w:r>
        <w:rPr>
          <w:rFonts w:hint="eastAsia"/>
          <w:lang w:val="en-US" w:eastAsia="zh-CN"/>
        </w:rPr>
        <w:t>四</w:t>
      </w:r>
      <w:r>
        <w:rPr>
          <w:rFonts w:hint="eastAsia"/>
        </w:rPr>
        <w:t>章  入厂煤煤质异常工作要求</w:t>
      </w:r>
    </w:p>
    <w:p w14:paraId="7D250F6D">
      <w:pPr>
        <w:bidi w:val="0"/>
        <w:rPr>
          <w:rFonts w:hint="eastAsia"/>
          <w:lang w:val="en-US" w:eastAsia="zh-CN"/>
        </w:rPr>
      </w:pPr>
      <w:r>
        <w:rPr>
          <w:rFonts w:hint="eastAsia"/>
          <w:b/>
          <w:bCs/>
        </w:rPr>
        <w:t>第</w:t>
      </w:r>
      <w:r>
        <w:rPr>
          <w:rFonts w:hint="eastAsia"/>
          <w:b/>
          <w:bCs/>
          <w:lang w:val="en-US" w:eastAsia="zh-CN"/>
        </w:rPr>
        <w:t>七</w:t>
      </w:r>
      <w:r>
        <w:rPr>
          <w:rFonts w:hint="eastAsia"/>
          <w:b/>
          <w:bCs/>
        </w:rPr>
        <w:t>条</w:t>
      </w:r>
      <w:r>
        <w:rPr>
          <w:rFonts w:hint="eastAsia"/>
        </w:rPr>
        <w:t xml:space="preserve"> </w:t>
      </w:r>
      <w:r>
        <w:rPr>
          <w:rFonts w:hint="eastAsia"/>
          <w:lang w:val="en-US" w:eastAsia="zh-CN"/>
        </w:rPr>
        <w:t xml:space="preserve"> 燃供部按照每月燃煤采购计划确定每日进煤计划并及时通报运行部，运行部入厂煤验收相关人员对来煤煤质进行目测验收，燃料质量管理小组人员不定期对来煤煤质情况进行抽查，确保及时发现煤质异常情况。</w:t>
      </w:r>
    </w:p>
    <w:p w14:paraId="1DF95170">
      <w:pPr>
        <w:bidi w:val="0"/>
      </w:pPr>
      <w:r>
        <w:rPr>
          <w:rFonts w:hint="eastAsia"/>
          <w:b/>
          <w:bCs/>
        </w:rPr>
        <w:t>第</w:t>
      </w:r>
      <w:r>
        <w:rPr>
          <w:rFonts w:hint="eastAsia"/>
          <w:b/>
          <w:bCs/>
          <w:lang w:val="en-US" w:eastAsia="zh-CN"/>
        </w:rPr>
        <w:t>八</w:t>
      </w:r>
      <w:r>
        <w:rPr>
          <w:rFonts w:hint="eastAsia"/>
          <w:b/>
          <w:bCs/>
        </w:rPr>
        <w:t>条</w:t>
      </w:r>
      <w:r>
        <w:rPr>
          <w:rFonts w:hint="eastAsia"/>
          <w:lang w:val="en-US" w:eastAsia="zh-CN"/>
        </w:rPr>
        <w:t xml:space="preserve"> </w:t>
      </w:r>
      <w:r>
        <w:rPr>
          <w:rFonts w:hint="eastAsia"/>
        </w:rPr>
        <w:t xml:space="preserve"> 凡进厂的燃料，必须进行质量验收和数量验收，严把入厂煤验收关。</w:t>
      </w:r>
    </w:p>
    <w:p w14:paraId="50DDB735">
      <w:pPr>
        <w:bidi w:val="0"/>
        <w:rPr>
          <w:rFonts w:hint="default"/>
          <w:lang w:val="en-US" w:eastAsia="zh-CN"/>
        </w:rPr>
      </w:pPr>
      <w:r>
        <w:rPr>
          <w:rFonts w:hint="eastAsia"/>
          <w:b/>
          <w:bCs/>
        </w:rPr>
        <w:t>第</w:t>
      </w:r>
      <w:r>
        <w:rPr>
          <w:rFonts w:hint="eastAsia"/>
          <w:b/>
          <w:bCs/>
          <w:lang w:val="en-US" w:eastAsia="zh-CN"/>
        </w:rPr>
        <w:t>九</w:t>
      </w:r>
      <w:r>
        <w:rPr>
          <w:rFonts w:hint="eastAsia"/>
          <w:b/>
          <w:bCs/>
        </w:rPr>
        <w:t>条</w:t>
      </w:r>
      <w:r>
        <w:rPr>
          <w:rFonts w:hint="eastAsia"/>
        </w:rPr>
        <w:t xml:space="preserve"> </w:t>
      </w:r>
      <w:r>
        <w:rPr>
          <w:rFonts w:hint="eastAsia"/>
          <w:lang w:val="en-US" w:eastAsia="zh-CN"/>
        </w:rPr>
        <w:t xml:space="preserve"> </w:t>
      </w:r>
      <w:r>
        <w:rPr>
          <w:rFonts w:hint="eastAsia"/>
        </w:rPr>
        <w:t>对入厂煤车进行</w:t>
      </w:r>
      <w:r>
        <w:rPr>
          <w:rFonts w:hint="eastAsia"/>
          <w:lang w:val="en-US" w:eastAsia="zh-CN"/>
        </w:rPr>
        <w:t>煤质异常、</w:t>
      </w:r>
      <w:r>
        <w:rPr>
          <w:rFonts w:hint="eastAsia"/>
          <w:lang w:eastAsia="zh-CN"/>
        </w:rPr>
        <w:t>掺假</w:t>
      </w:r>
      <w:r>
        <w:rPr>
          <w:rFonts w:hint="eastAsia"/>
        </w:rPr>
        <w:t>行为的处理必须坚持实事求是，公开、公平、公正的原则，</w:t>
      </w:r>
      <w:r>
        <w:t>燃料质量管理小组的成员共同参与处理过程，并就处理结果达成共识，以此作为处理的依据。</w:t>
      </w:r>
    </w:p>
    <w:p w14:paraId="1844E9C3">
      <w:pPr>
        <w:widowControl w:val="0"/>
        <w:bidi w:val="0"/>
        <w:spacing w:line="560" w:lineRule="exact"/>
        <w:ind w:firstLine="643" w:firstLineChars="200"/>
        <w:jc w:val="both"/>
        <w:rPr>
          <w:rFonts w:hint="eastAsia"/>
          <w:lang w:val="en-US" w:eastAsia="zh-CN"/>
        </w:rPr>
      </w:pPr>
      <w:r>
        <w:rPr>
          <w:rFonts w:hint="eastAsia"/>
          <w:b/>
          <w:bCs/>
        </w:rPr>
        <w:t>第十条</w:t>
      </w:r>
      <w:r>
        <w:rPr>
          <w:rFonts w:hint="eastAsia"/>
          <w:lang w:val="en-US" w:eastAsia="zh-CN"/>
        </w:rPr>
        <w:t xml:space="preserve"> </w:t>
      </w:r>
      <w:r>
        <w:rPr>
          <w:rFonts w:hint="eastAsia"/>
        </w:rPr>
        <w:t xml:space="preserve"> </w:t>
      </w:r>
      <w:r>
        <w:rPr>
          <w:rFonts w:hint="eastAsia"/>
          <w:lang w:val="en-US" w:eastAsia="zh-CN"/>
        </w:rPr>
        <w:t>煤质异常处理单须经燃料质量管理小组组长（分管生产的副总经理）签字确认后生效。处理单签字流程为：发现人→运行部负责人→燃供部负责人→生产技术部负责人→燃料监督人员（计划部人员）→燃料质量管理小组组长→调整记录人员系统（FPM）进行调整确认。</w:t>
      </w:r>
      <w:r>
        <w:rPr>
          <w:rFonts w:ascii="仿宋_GB2312" w:hAnsi="仿宋_GB2312" w:eastAsia="仿宋_GB2312" w:cs="仿宋_GB2312"/>
          <w:kern w:val="2"/>
          <w:sz w:val="32"/>
          <w:szCs w:val="32"/>
          <w:lang w:bidi="ar-SA"/>
        </w:rPr>
        <w:t>煤场管理员利用执法记录仪对处理的全过程进行摄像，确保全程记录</w:t>
      </w:r>
      <w:r>
        <w:rPr>
          <w:rFonts w:hint="eastAsia" w:cs="仿宋_GB2312"/>
          <w:kern w:val="2"/>
          <w:sz w:val="32"/>
          <w:szCs w:val="32"/>
          <w:lang w:eastAsia="zh-CN" w:bidi="ar-SA"/>
        </w:rPr>
        <w:t>，</w:t>
      </w:r>
      <w:r>
        <w:rPr>
          <w:rFonts w:hint="eastAsia" w:cs="仿宋_GB2312"/>
          <w:kern w:val="2"/>
          <w:sz w:val="32"/>
          <w:szCs w:val="32"/>
          <w:lang w:val="en-US" w:eastAsia="zh-CN" w:bidi="ar-SA"/>
        </w:rPr>
        <w:t>最后经供应商签字确认。在节假日及夜间处理煤质异常情况时，若负责人不在现场，可授权本部门相关人员签字确认煤质异常。</w:t>
      </w:r>
      <w:r>
        <w:rPr>
          <w:rFonts w:hint="eastAsia"/>
          <w:lang w:val="en-US" w:eastAsia="zh-CN"/>
        </w:rPr>
        <w:t xml:space="preserve"> </w:t>
      </w:r>
    </w:p>
    <w:p w14:paraId="3C7F44AA">
      <w:pPr>
        <w:widowControl w:val="0"/>
        <w:bidi w:val="0"/>
        <w:spacing w:line="560" w:lineRule="exact"/>
        <w:ind w:firstLine="643" w:firstLineChars="200"/>
        <w:jc w:val="both"/>
        <w:rPr>
          <w:rFonts w:hint="eastAsia"/>
          <w:lang w:eastAsia="zh-CN"/>
        </w:rPr>
      </w:pPr>
      <w:r>
        <w:rPr>
          <w:rFonts w:hint="eastAsia"/>
          <w:b/>
          <w:bCs/>
        </w:rPr>
        <w:t>第十</w:t>
      </w:r>
      <w:r>
        <w:rPr>
          <w:rFonts w:hint="eastAsia"/>
          <w:b/>
          <w:bCs/>
          <w:lang w:val="en-US" w:eastAsia="zh-CN"/>
        </w:rPr>
        <w:t>一</w:t>
      </w:r>
      <w:r>
        <w:rPr>
          <w:rFonts w:hint="eastAsia"/>
          <w:b/>
          <w:bCs/>
        </w:rPr>
        <w:t>条</w:t>
      </w:r>
      <w:r>
        <w:rPr>
          <w:rFonts w:hint="eastAsia"/>
        </w:rPr>
        <w:t xml:space="preserve"> </w:t>
      </w:r>
      <w:r>
        <w:rPr>
          <w:rFonts w:hint="eastAsia"/>
          <w:lang w:val="en-US" w:eastAsia="zh-CN"/>
        </w:rPr>
        <w:t xml:space="preserve"> </w:t>
      </w:r>
      <w:r>
        <w:rPr>
          <w:rFonts w:ascii="仿宋_GB2312" w:hAnsi="仿宋_GB2312" w:eastAsia="仿宋_GB2312" w:cs="仿宋_GB2312"/>
          <w:kern w:val="2"/>
          <w:sz w:val="32"/>
          <w:szCs w:val="32"/>
          <w:lang w:bidi="ar-SA"/>
        </w:rPr>
        <w:t>任何人均可提出煤质异常的情况，并上报至燃料质量小组。接到煤质异常的通知，</w:t>
      </w:r>
      <w:r>
        <w:rPr>
          <w:rFonts w:hint="eastAsia" w:cs="仿宋_GB2312"/>
          <w:kern w:val="2"/>
          <w:sz w:val="32"/>
          <w:szCs w:val="32"/>
          <w:lang w:eastAsia="zh-CN" w:bidi="ar-SA"/>
        </w:rPr>
        <w:t>生产技术部</w:t>
      </w:r>
      <w:r>
        <w:rPr>
          <w:rFonts w:ascii="仿宋_GB2312" w:hAnsi="仿宋_GB2312" w:eastAsia="仿宋_GB2312" w:cs="仿宋_GB2312"/>
          <w:kern w:val="2"/>
          <w:sz w:val="32"/>
          <w:szCs w:val="32"/>
          <w:lang w:bidi="ar-SA"/>
        </w:rPr>
        <w:t>应迅速召集小组其他成员进行确认和处理。</w:t>
      </w:r>
    </w:p>
    <w:p w14:paraId="6FC5B4CC">
      <w:pPr>
        <w:bidi w:val="0"/>
        <w:rPr>
          <w:rFonts w:hint="eastAsia"/>
        </w:rPr>
      </w:pPr>
      <w:r>
        <w:rPr>
          <w:rFonts w:hint="eastAsia"/>
          <w:b/>
          <w:bCs/>
        </w:rPr>
        <w:t>第十</w:t>
      </w:r>
      <w:r>
        <w:rPr>
          <w:rFonts w:hint="eastAsia"/>
          <w:b/>
          <w:bCs/>
          <w:lang w:val="en-US" w:eastAsia="zh-CN"/>
        </w:rPr>
        <w:t>二</w:t>
      </w:r>
      <w:r>
        <w:rPr>
          <w:rFonts w:hint="eastAsia"/>
          <w:b/>
          <w:bCs/>
        </w:rPr>
        <w:t>条</w:t>
      </w:r>
      <w:r>
        <w:rPr>
          <w:rFonts w:hint="eastAsia"/>
        </w:rPr>
        <w:t xml:space="preserve"> </w:t>
      </w:r>
      <w:r>
        <w:rPr>
          <w:rFonts w:hint="eastAsia"/>
          <w:lang w:val="en-US" w:eastAsia="zh-CN"/>
        </w:rPr>
        <w:t xml:space="preserve"> 运行部</w:t>
      </w:r>
      <w:r>
        <w:rPr>
          <w:rFonts w:hint="eastAsia"/>
        </w:rPr>
        <w:t>是入厂煤异常煤质处理的第一责任人。发现煤质异常应将车辆引导至待检区域，立即通知燃料质量管理小组成员进行确认，如判定煤质异常应通过书面、邮件等形式通知供应商在24个小时内到达现场进行确认，留存通知相关资料。供应商代表应持有授权委托书，如供应商未在24小时内到达现场，视为供应商同意煤质异常认定结果。如供应商对异常煤质认定结果不予认可，由双方共同对不同点位进行取样，如不同点位发热量化验结果偏差超过2MJ/kg，按照</w:t>
      </w:r>
      <w:r>
        <w:rPr>
          <w:rFonts w:hint="eastAsia"/>
          <w:lang w:val="en-US" w:eastAsia="zh-CN"/>
        </w:rPr>
        <w:t>公司</w:t>
      </w:r>
      <w:r>
        <w:rPr>
          <w:rFonts w:hint="eastAsia"/>
        </w:rPr>
        <w:t>认定煤质异常结果处理。</w:t>
      </w:r>
    </w:p>
    <w:p w14:paraId="276AC325">
      <w:pPr>
        <w:bidi w:val="0"/>
        <w:rPr>
          <w:rFonts w:hint="eastAsia"/>
        </w:rPr>
      </w:pPr>
      <w:r>
        <w:rPr>
          <w:rFonts w:hint="eastAsia"/>
          <w:b/>
          <w:bCs/>
        </w:rPr>
        <w:t>第十</w:t>
      </w:r>
      <w:r>
        <w:rPr>
          <w:rFonts w:hint="eastAsia"/>
          <w:b/>
          <w:bCs/>
          <w:lang w:val="en-US" w:eastAsia="zh-CN"/>
        </w:rPr>
        <w:t>三</w:t>
      </w:r>
      <w:r>
        <w:rPr>
          <w:rFonts w:hint="eastAsia"/>
          <w:b/>
          <w:bCs/>
        </w:rPr>
        <w:t>条</w:t>
      </w:r>
      <w:r>
        <w:rPr>
          <w:rFonts w:hint="eastAsia"/>
        </w:rPr>
        <w:t xml:space="preserve"> </w:t>
      </w:r>
      <w:r>
        <w:rPr>
          <w:rFonts w:hint="eastAsia"/>
          <w:lang w:val="en-US" w:eastAsia="zh-CN"/>
        </w:rPr>
        <w:t xml:space="preserve"> </w:t>
      </w:r>
      <w:r>
        <w:rPr>
          <w:rFonts w:hint="eastAsia"/>
        </w:rPr>
        <w:t>采样员采样前，目测车辆煤质异常（水分大、矸石多、</w:t>
      </w:r>
      <w:r>
        <w:rPr>
          <w:rFonts w:hint="eastAsia"/>
          <w:lang w:eastAsia="zh-CN"/>
        </w:rPr>
        <w:t>其他杂物</w:t>
      </w:r>
      <w:r>
        <w:rPr>
          <w:rFonts w:hint="eastAsia"/>
        </w:rPr>
        <w:t>、</w:t>
      </w:r>
      <w:r>
        <w:rPr>
          <w:rFonts w:hint="eastAsia"/>
          <w:lang w:eastAsia="zh-CN"/>
        </w:rPr>
        <w:t>自燃</w:t>
      </w:r>
      <w:r>
        <w:rPr>
          <w:rFonts w:hint="eastAsia"/>
        </w:rPr>
        <w:t>等现象）或影响正常采样时，及时联系运行部煤场管理员，并将车引导驶入待检区域。</w:t>
      </w:r>
    </w:p>
    <w:p w14:paraId="17A3CCC5">
      <w:pPr>
        <w:bidi w:val="0"/>
        <w:rPr>
          <w:rFonts w:hint="eastAsia"/>
        </w:rPr>
      </w:pPr>
      <w:r>
        <w:rPr>
          <w:rFonts w:hint="eastAsia"/>
          <w:b/>
          <w:bCs/>
        </w:rPr>
        <w:t>第十</w:t>
      </w:r>
      <w:r>
        <w:rPr>
          <w:rFonts w:hint="eastAsia"/>
          <w:b/>
          <w:bCs/>
          <w:lang w:val="en-US" w:eastAsia="zh-CN"/>
        </w:rPr>
        <w:t>四</w:t>
      </w:r>
      <w:r>
        <w:rPr>
          <w:rFonts w:hint="eastAsia"/>
          <w:b/>
          <w:bCs/>
        </w:rPr>
        <w:t>条</w:t>
      </w:r>
      <w:r>
        <w:rPr>
          <w:rFonts w:hint="eastAsia"/>
        </w:rPr>
        <w:t xml:space="preserve"> </w:t>
      </w:r>
      <w:r>
        <w:rPr>
          <w:rFonts w:hint="eastAsia"/>
          <w:lang w:val="en-US" w:eastAsia="zh-CN"/>
        </w:rPr>
        <w:t xml:space="preserve"> </w:t>
      </w:r>
      <w:r>
        <w:rPr>
          <w:rFonts w:hint="eastAsia"/>
        </w:rPr>
        <w:t>采样过程中发现煤质异常时，及时联系运行部煤场管理员，由煤场管理员重点检查该车煤质。</w:t>
      </w:r>
    </w:p>
    <w:p w14:paraId="50C88B46">
      <w:pPr>
        <w:bidi w:val="0"/>
        <w:rPr>
          <w:rFonts w:hint="eastAsia"/>
        </w:rPr>
      </w:pPr>
      <w:r>
        <w:rPr>
          <w:rFonts w:hint="eastAsia"/>
          <w:b/>
          <w:bCs/>
        </w:rPr>
        <w:t>第十</w:t>
      </w:r>
      <w:r>
        <w:rPr>
          <w:rFonts w:hint="eastAsia"/>
          <w:b/>
          <w:bCs/>
          <w:lang w:val="en-US" w:eastAsia="zh-CN"/>
        </w:rPr>
        <w:t>五</w:t>
      </w:r>
      <w:r>
        <w:rPr>
          <w:rFonts w:hint="eastAsia"/>
          <w:b/>
          <w:bCs/>
        </w:rPr>
        <w:t>条</w:t>
      </w:r>
      <w:r>
        <w:rPr>
          <w:rFonts w:hint="eastAsia"/>
          <w:lang w:val="en-US" w:eastAsia="zh-CN"/>
        </w:rPr>
        <w:t xml:space="preserve"> </w:t>
      </w:r>
      <w:r>
        <w:rPr>
          <w:rFonts w:hint="eastAsia"/>
        </w:rPr>
        <w:t xml:space="preserve"> 煤车在煤场管理员的监督下进行卸煤，煤场管理员发现来</w:t>
      </w:r>
      <w:r>
        <w:rPr>
          <w:rFonts w:hint="eastAsia"/>
          <w:lang w:val="en-US" w:eastAsia="zh-CN"/>
        </w:rPr>
        <w:t>石块多、</w:t>
      </w:r>
      <w:r>
        <w:rPr>
          <w:rFonts w:hint="eastAsia"/>
        </w:rPr>
        <w:t>杂物多，通知燃料质量管理小组到场确认按要求进行扣吨后，车辆方可离开卸煤现场。</w:t>
      </w:r>
    </w:p>
    <w:p w14:paraId="7F203411">
      <w:pPr>
        <w:bidi w:val="0"/>
        <w:rPr>
          <w:rFonts w:hint="eastAsia"/>
          <w:lang w:val="en-US" w:eastAsia="zh-CN"/>
        </w:rPr>
      </w:pPr>
      <w:r>
        <w:rPr>
          <w:rFonts w:hint="eastAsia"/>
          <w:b/>
          <w:bCs/>
        </w:rPr>
        <w:t>第十</w:t>
      </w:r>
      <w:r>
        <w:rPr>
          <w:rFonts w:hint="eastAsia"/>
          <w:b/>
          <w:bCs/>
          <w:lang w:val="en-US" w:eastAsia="zh-CN"/>
        </w:rPr>
        <w:t>六</w:t>
      </w:r>
      <w:r>
        <w:rPr>
          <w:rFonts w:hint="eastAsia"/>
          <w:b/>
          <w:bCs/>
        </w:rPr>
        <w:t>条</w:t>
      </w:r>
      <w:r>
        <w:rPr>
          <w:rFonts w:hint="eastAsia"/>
          <w:lang w:val="en-US" w:eastAsia="zh-CN"/>
        </w:rPr>
        <w:t xml:space="preserve"> </w:t>
      </w:r>
      <w:r>
        <w:rPr>
          <w:rFonts w:hint="eastAsia"/>
        </w:rPr>
        <w:t xml:space="preserve"> </w:t>
      </w:r>
      <w:r>
        <w:rPr>
          <w:rFonts w:hint="eastAsia"/>
          <w:lang w:val="en-US" w:eastAsia="zh-CN"/>
        </w:rPr>
        <w:t>运行部煤场管理员须在煤质异常处理完成后在当班期间建立入厂煤煤质异常处理台账，并详细记录以下内容：车辆信息、处理时间、供煤方公司名称、煤质异常原因、煤质异常处理结果（扣吨、不予结算、调整煤质等）。</w:t>
      </w:r>
    </w:p>
    <w:p w14:paraId="5161CFE8">
      <w:pPr>
        <w:bidi w:val="0"/>
        <w:rPr>
          <w:rFonts w:hint="eastAsia"/>
          <w:lang w:val="en-US" w:eastAsia="zh-CN"/>
        </w:rPr>
      </w:pPr>
      <w:r>
        <w:rPr>
          <w:rFonts w:hint="eastAsia"/>
          <w:b/>
          <w:bCs/>
          <w:lang w:val="en-US" w:eastAsia="zh-CN"/>
        </w:rPr>
        <w:t>第</w:t>
      </w:r>
      <w:r>
        <w:rPr>
          <w:rFonts w:hint="eastAsia"/>
          <w:b/>
          <w:bCs/>
        </w:rPr>
        <w:t>十</w:t>
      </w:r>
      <w:r>
        <w:rPr>
          <w:rFonts w:hint="eastAsia"/>
          <w:b/>
          <w:bCs/>
          <w:lang w:val="en-US" w:eastAsia="zh-CN"/>
        </w:rPr>
        <w:t xml:space="preserve">七条 </w:t>
      </w:r>
      <w:r>
        <w:rPr>
          <w:rFonts w:hint="eastAsia"/>
          <w:lang w:val="en-US" w:eastAsia="zh-CN"/>
        </w:rPr>
        <w:t xml:space="preserve"> 运行部管理人员及时（当天）将《华电阜康热电有限公司煤质异常处理单》（见附录）及其相关证据，一并报送至生产技术部。</w:t>
      </w:r>
    </w:p>
    <w:p w14:paraId="1B4BE753">
      <w:pPr>
        <w:pStyle w:val="3"/>
        <w:bidi w:val="0"/>
        <w:rPr>
          <w:rFonts w:hint="eastAsia"/>
        </w:rPr>
      </w:pPr>
      <w:r>
        <w:rPr>
          <w:rFonts w:hint="eastAsia"/>
        </w:rPr>
        <w:t>第五章  检查与考核</w:t>
      </w:r>
    </w:p>
    <w:p w14:paraId="6CCCAD2D">
      <w:pPr>
        <w:bidi w:val="0"/>
        <w:rPr>
          <w:rFonts w:hint="eastAsia" w:eastAsia="仿宋_GB2312"/>
          <w:lang w:eastAsia="zh-CN"/>
        </w:rPr>
      </w:pPr>
      <w:r>
        <w:rPr>
          <w:rFonts w:hint="eastAsia"/>
          <w:b/>
          <w:bCs/>
        </w:rPr>
        <w:t>第</w:t>
      </w:r>
      <w:r>
        <w:rPr>
          <w:rFonts w:hint="eastAsia"/>
          <w:b/>
          <w:bCs/>
          <w:lang w:val="en-US" w:eastAsia="zh-CN"/>
        </w:rPr>
        <w:t>十八</w:t>
      </w:r>
      <w:r>
        <w:rPr>
          <w:rFonts w:hint="eastAsia"/>
          <w:b/>
          <w:bCs/>
        </w:rPr>
        <w:t>条</w:t>
      </w:r>
      <w:r>
        <w:rPr>
          <w:rFonts w:hint="eastAsia"/>
          <w:lang w:val="en-US" w:eastAsia="zh-CN"/>
        </w:rPr>
        <w:t xml:space="preserve"> </w:t>
      </w:r>
      <w:r>
        <w:rPr>
          <w:rFonts w:hint="eastAsia"/>
        </w:rPr>
        <w:t xml:space="preserve"> </w:t>
      </w:r>
      <w:r>
        <w:rPr>
          <w:rFonts w:hint="eastAsia"/>
          <w:lang w:val="en-US" w:eastAsia="zh-CN"/>
        </w:rPr>
        <w:t>燃料质量管理小组人员</w:t>
      </w:r>
      <w:r>
        <w:rPr>
          <w:rFonts w:hint="eastAsia"/>
        </w:rPr>
        <w:t>在岗不作为</w:t>
      </w:r>
      <w:r>
        <w:rPr>
          <w:rFonts w:hint="eastAsia"/>
          <w:lang w:eastAsia="zh-CN"/>
        </w:rPr>
        <w:t>，</w:t>
      </w:r>
      <w:r>
        <w:rPr>
          <w:rFonts w:hint="eastAsia"/>
          <w:lang w:val="en-US" w:eastAsia="zh-CN"/>
        </w:rPr>
        <w:t>未及时发现、处理煤质异常的</w:t>
      </w:r>
      <w:r>
        <w:rPr>
          <w:rFonts w:hint="eastAsia"/>
        </w:rPr>
        <w:t>考核相关责任人</w:t>
      </w:r>
      <w:r>
        <w:rPr>
          <w:rFonts w:hint="eastAsia"/>
          <w:lang w:val="en-US" w:eastAsia="zh-CN"/>
        </w:rPr>
        <w:t>500</w:t>
      </w:r>
      <w:r>
        <w:rPr>
          <w:rFonts w:hint="eastAsia"/>
        </w:rPr>
        <w:t>—1000元/人.次。凡经调查，确定</w:t>
      </w:r>
      <w:r>
        <w:rPr>
          <w:rFonts w:hint="eastAsia"/>
          <w:lang w:val="en-US" w:eastAsia="zh-CN"/>
        </w:rPr>
        <w:t>相关</w:t>
      </w:r>
      <w:r>
        <w:rPr>
          <w:rFonts w:hint="eastAsia"/>
        </w:rPr>
        <w:t>人员在相关处理过程中有失公正</w:t>
      </w:r>
      <w:r>
        <w:rPr>
          <w:rFonts w:hint="eastAsia"/>
          <w:lang w:eastAsia="zh-CN"/>
        </w:rPr>
        <w:t>、</w:t>
      </w:r>
      <w:r>
        <w:rPr>
          <w:rFonts w:hint="eastAsia"/>
        </w:rPr>
        <w:t>没有照章办事</w:t>
      </w:r>
      <w:r>
        <w:rPr>
          <w:rFonts w:hint="eastAsia"/>
          <w:lang w:eastAsia="zh-CN"/>
        </w:rPr>
        <w:t>、</w:t>
      </w:r>
      <w:r>
        <w:rPr>
          <w:rFonts w:hint="eastAsia"/>
          <w:lang w:val="en-US" w:eastAsia="zh-CN"/>
        </w:rPr>
        <w:t>擅自处理异常煤质</w:t>
      </w:r>
      <w:r>
        <w:rPr>
          <w:rFonts w:hint="eastAsia"/>
        </w:rPr>
        <w:t>，考核相关责任人500元/人.次。对于屡犯或造成严重后果者，追加处罚直至下岗</w:t>
      </w:r>
      <w:r>
        <w:rPr>
          <w:rFonts w:hint="eastAsia"/>
          <w:lang w:eastAsia="zh-CN"/>
        </w:rPr>
        <w:t>，</w:t>
      </w:r>
      <w:r>
        <w:rPr>
          <w:rFonts w:hint="eastAsia"/>
          <w:lang w:val="en-US" w:eastAsia="zh-CN"/>
        </w:rPr>
        <w:t>造成严重后果的移交纪检部门</w:t>
      </w:r>
      <w:r>
        <w:rPr>
          <w:rFonts w:hint="eastAsia"/>
        </w:rPr>
        <w:t>处理</w:t>
      </w:r>
      <w:r>
        <w:rPr>
          <w:rFonts w:hint="eastAsia"/>
          <w:lang w:eastAsia="zh-CN"/>
        </w:rPr>
        <w:t>。</w:t>
      </w:r>
    </w:p>
    <w:p w14:paraId="04F13B63">
      <w:pPr>
        <w:bidi w:val="0"/>
        <w:rPr>
          <w:rFonts w:hint="eastAsia"/>
          <w:lang w:eastAsia="zh-CN"/>
        </w:rPr>
      </w:pPr>
      <w:r>
        <w:rPr>
          <w:rFonts w:hint="eastAsia"/>
          <w:b/>
          <w:bCs/>
        </w:rPr>
        <w:t>第</w:t>
      </w:r>
      <w:r>
        <w:rPr>
          <w:rFonts w:hint="eastAsia"/>
          <w:b/>
          <w:bCs/>
          <w:lang w:val="en-US" w:eastAsia="zh-CN"/>
        </w:rPr>
        <w:t>十九</w:t>
      </w:r>
      <w:r>
        <w:rPr>
          <w:rFonts w:hint="eastAsia"/>
          <w:b/>
          <w:bCs/>
        </w:rPr>
        <w:t>条</w:t>
      </w:r>
      <w:r>
        <w:rPr>
          <w:rFonts w:hint="eastAsia"/>
          <w:lang w:val="en-US" w:eastAsia="zh-CN"/>
        </w:rPr>
        <w:t xml:space="preserve"> </w:t>
      </w:r>
      <w:r>
        <w:rPr>
          <w:rFonts w:hint="eastAsia"/>
        </w:rPr>
        <w:t xml:space="preserve"> </w:t>
      </w:r>
      <w:r>
        <w:rPr>
          <w:rFonts w:hint="eastAsia"/>
          <w:lang w:val="en-US" w:eastAsia="zh-CN"/>
        </w:rPr>
        <w:t>燃料质量管理小组人员</w:t>
      </w:r>
      <w:r>
        <w:rPr>
          <w:rFonts w:hint="eastAsia"/>
        </w:rPr>
        <w:t>在相关处理过程中有故意包庇他人、收受煤车驾驶员或供煤单位任何形式的不当利益、以权谋私者，</w:t>
      </w:r>
      <w:r>
        <w:rPr>
          <w:rFonts w:hint="eastAsia"/>
          <w:lang w:val="en-US" w:eastAsia="zh-CN"/>
        </w:rPr>
        <w:t>移交纪检部门</w:t>
      </w:r>
      <w:r>
        <w:rPr>
          <w:rFonts w:hint="eastAsia"/>
        </w:rPr>
        <w:t>处理</w:t>
      </w:r>
      <w:r>
        <w:rPr>
          <w:rFonts w:hint="eastAsia"/>
          <w:lang w:eastAsia="zh-CN"/>
        </w:rPr>
        <w:t>。</w:t>
      </w:r>
    </w:p>
    <w:p w14:paraId="1FB50817">
      <w:pPr>
        <w:bidi w:val="0"/>
      </w:pPr>
      <w:r>
        <w:rPr>
          <w:rFonts w:hint="eastAsia"/>
          <w:b/>
          <w:bCs/>
        </w:rPr>
        <w:t>第</w:t>
      </w:r>
      <w:r>
        <w:rPr>
          <w:rFonts w:hint="eastAsia"/>
          <w:b/>
          <w:bCs/>
          <w:lang w:val="en-US" w:eastAsia="zh-CN"/>
        </w:rPr>
        <w:t>二十</w:t>
      </w:r>
      <w:r>
        <w:rPr>
          <w:rFonts w:hint="eastAsia"/>
          <w:b/>
          <w:bCs/>
        </w:rPr>
        <w:t>条</w:t>
      </w:r>
      <w:r>
        <w:rPr>
          <w:rFonts w:hint="eastAsia"/>
          <w:b/>
          <w:bCs/>
          <w:lang w:val="en-US" w:eastAsia="zh-CN"/>
        </w:rPr>
        <w:t xml:space="preserve"> </w:t>
      </w:r>
      <w:r>
        <w:rPr>
          <w:rFonts w:hint="eastAsia"/>
        </w:rPr>
        <w:t xml:space="preserve"> 对</w:t>
      </w:r>
      <w:r>
        <w:rPr>
          <w:rFonts w:hint="eastAsia"/>
          <w:lang w:val="en-US" w:eastAsia="zh-CN"/>
        </w:rPr>
        <w:t>发现入厂煤存在</w:t>
      </w:r>
      <w:r>
        <w:rPr>
          <w:rFonts w:hint="eastAsia"/>
          <w:lang w:eastAsia="zh-CN"/>
        </w:rPr>
        <w:t>掺假</w:t>
      </w:r>
      <w:r>
        <w:rPr>
          <w:rFonts w:hint="eastAsia"/>
        </w:rPr>
        <w:t>行为</w:t>
      </w:r>
      <w:r>
        <w:rPr>
          <w:rFonts w:hint="eastAsia"/>
          <w:lang w:eastAsia="zh-CN"/>
        </w:rPr>
        <w:t>，</w:t>
      </w:r>
      <w:r>
        <w:rPr>
          <w:rFonts w:hint="eastAsia"/>
        </w:rPr>
        <w:t>经查证情况属实，奖励</w:t>
      </w:r>
      <w:r>
        <w:rPr>
          <w:rFonts w:hint="eastAsia"/>
          <w:lang w:val="en-US" w:eastAsia="zh-CN"/>
        </w:rPr>
        <w:t>发现人</w:t>
      </w:r>
      <w:r>
        <w:rPr>
          <w:rFonts w:hint="eastAsia"/>
        </w:rPr>
        <w:t>200元/人.次。</w:t>
      </w:r>
    </w:p>
    <w:p w14:paraId="2186D2F8">
      <w:pPr>
        <w:bidi w:val="0"/>
        <w:rPr>
          <w:rFonts w:hint="eastAsia"/>
        </w:rPr>
      </w:pPr>
      <w:r>
        <w:rPr>
          <w:rFonts w:hint="eastAsia"/>
          <w:b/>
          <w:bCs/>
        </w:rPr>
        <w:t>第</w:t>
      </w:r>
      <w:r>
        <w:rPr>
          <w:rFonts w:hint="eastAsia"/>
          <w:b/>
          <w:bCs/>
          <w:lang w:val="en-US" w:eastAsia="zh-CN"/>
        </w:rPr>
        <w:t>二十一</w:t>
      </w:r>
      <w:r>
        <w:rPr>
          <w:rFonts w:hint="eastAsia"/>
          <w:b/>
          <w:bCs/>
        </w:rPr>
        <w:t>条</w:t>
      </w:r>
      <w:r>
        <w:rPr>
          <w:rFonts w:hint="eastAsia"/>
          <w:lang w:val="en-US" w:eastAsia="zh-CN"/>
        </w:rPr>
        <w:t xml:space="preserve">  </w:t>
      </w:r>
      <w:r>
        <w:rPr>
          <w:rFonts w:hint="eastAsia"/>
        </w:rPr>
        <w:t>计划部每</w:t>
      </w:r>
      <w:r>
        <w:rPr>
          <w:rFonts w:hint="eastAsia"/>
          <w:lang w:val="en-US" w:eastAsia="zh-CN"/>
        </w:rPr>
        <w:t>月</w:t>
      </w:r>
      <w:r>
        <w:rPr>
          <w:rFonts w:hint="eastAsia"/>
        </w:rPr>
        <w:t>对</w:t>
      </w:r>
      <w:r>
        <w:rPr>
          <w:rFonts w:hint="eastAsia"/>
          <w:lang w:val="en-US" w:eastAsia="zh-CN"/>
        </w:rPr>
        <w:t>异常煤质处理</w:t>
      </w:r>
      <w:r>
        <w:rPr>
          <w:rFonts w:hint="eastAsia"/>
        </w:rPr>
        <w:t>台账记录的完整性、准确性进行抽查，未按要求建立或记录缺失的，考核相关部门责任人</w:t>
      </w:r>
      <w:r>
        <w:rPr>
          <w:rFonts w:hint="eastAsia"/>
          <w:lang w:val="en-US" w:eastAsia="zh-CN"/>
        </w:rPr>
        <w:t>2</w:t>
      </w:r>
      <w:r>
        <w:rPr>
          <w:rFonts w:hint="eastAsia"/>
        </w:rPr>
        <w:t>00元/次。</w:t>
      </w:r>
    </w:p>
    <w:p w14:paraId="6677E16E">
      <w:pPr>
        <w:pStyle w:val="3"/>
        <w:bidi w:val="0"/>
        <w:rPr>
          <w:rFonts w:hint="eastAsia"/>
        </w:rPr>
      </w:pPr>
      <w:r>
        <w:rPr>
          <w:rFonts w:hint="eastAsia"/>
        </w:rPr>
        <w:t>第六章  附则</w:t>
      </w:r>
    </w:p>
    <w:p w14:paraId="42E95BF3">
      <w:pPr>
        <w:bidi w:val="0"/>
        <w:rPr>
          <w:rFonts w:hint="eastAsia"/>
        </w:rPr>
      </w:pPr>
      <w:r>
        <w:rPr>
          <w:rFonts w:hint="eastAsia"/>
          <w:b/>
          <w:bCs/>
        </w:rPr>
        <w:t>第</w:t>
      </w:r>
      <w:r>
        <w:rPr>
          <w:rFonts w:hint="eastAsia"/>
          <w:b/>
          <w:bCs/>
          <w:lang w:val="en-US" w:eastAsia="zh-CN"/>
        </w:rPr>
        <w:t>二十二条</w:t>
      </w:r>
      <w:r>
        <w:rPr>
          <w:rFonts w:hint="eastAsia"/>
        </w:rPr>
        <w:t xml:space="preserve"> </w:t>
      </w:r>
      <w:r>
        <w:rPr>
          <w:rFonts w:hint="eastAsia"/>
          <w:lang w:val="en-US" w:eastAsia="zh-CN"/>
        </w:rPr>
        <w:t xml:space="preserve"> </w:t>
      </w:r>
      <w:r>
        <w:rPr>
          <w:rFonts w:hint="eastAsia"/>
        </w:rPr>
        <w:t>本办法由</w:t>
      </w:r>
      <w:r>
        <w:rPr>
          <w:rFonts w:hint="eastAsia"/>
          <w:lang w:val="en-US" w:eastAsia="zh-CN"/>
        </w:rPr>
        <w:t>阜康热电公司</w:t>
      </w:r>
      <w:r>
        <w:rPr>
          <w:rFonts w:hint="eastAsia"/>
          <w:lang w:eastAsia="zh-CN"/>
        </w:rPr>
        <w:t>生产技术部</w:t>
      </w:r>
      <w:r>
        <w:rPr>
          <w:rFonts w:hint="eastAsia"/>
        </w:rPr>
        <w:t>负责解释。</w:t>
      </w:r>
    </w:p>
    <w:p w14:paraId="1D4E7FE3">
      <w:pPr>
        <w:bidi w:val="0"/>
        <w:rPr>
          <w:rFonts w:hint="eastAsia"/>
        </w:rPr>
      </w:pPr>
      <w:r>
        <w:rPr>
          <w:rFonts w:hint="eastAsia"/>
          <w:b/>
          <w:bCs/>
        </w:rPr>
        <w:t>第</w:t>
      </w:r>
      <w:r>
        <w:rPr>
          <w:rFonts w:hint="eastAsia"/>
          <w:b/>
          <w:bCs/>
          <w:lang w:val="en-US" w:eastAsia="zh-CN"/>
        </w:rPr>
        <w:t>二十三</w:t>
      </w:r>
      <w:r>
        <w:rPr>
          <w:rFonts w:hint="eastAsia"/>
          <w:b/>
          <w:bCs/>
        </w:rPr>
        <w:t>条</w:t>
      </w:r>
      <w:r>
        <w:rPr>
          <w:rFonts w:hint="eastAsia"/>
        </w:rPr>
        <w:t xml:space="preserve"> </w:t>
      </w:r>
      <w:r>
        <w:rPr>
          <w:rFonts w:hint="eastAsia"/>
          <w:lang w:val="en-US" w:eastAsia="zh-CN"/>
        </w:rPr>
        <w:t xml:space="preserve"> 本办法自修订印发之日起执行。原《华电阜康热电有限公司入厂煤煤质异常管理办法》（华电阜热电制〔2025〕11号）同时废止。</w:t>
      </w:r>
    </w:p>
    <w:p w14:paraId="6E9795FB">
      <w:pPr>
        <w:bidi w:val="0"/>
        <w:rPr>
          <w:rFonts w:hint="eastAsia"/>
        </w:rPr>
      </w:pPr>
    </w:p>
    <w:p w14:paraId="20670331">
      <w:pPr>
        <w:bidi w:val="0"/>
        <w:rPr>
          <w:rFonts w:hint="eastAsia"/>
        </w:rPr>
      </w:pPr>
      <w:r>
        <w:rPr>
          <w:rFonts w:hint="eastAsia"/>
        </w:rPr>
        <w:t>附录</w:t>
      </w:r>
      <w:r>
        <w:rPr>
          <w:rFonts w:hint="eastAsia"/>
          <w:lang w:eastAsia="zh-CN"/>
        </w:rPr>
        <w:t>：</w:t>
      </w:r>
      <w:r>
        <w:rPr>
          <w:rFonts w:hint="eastAsia"/>
        </w:rPr>
        <w:t>华电阜康热电有限公司煤质异常处理单</w:t>
      </w:r>
    </w:p>
    <w:p w14:paraId="29E8B3F5">
      <w:pPr>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黑体" w:hAnsi="宋体" w:eastAsia="黑体" w:cs="宋体"/>
          <w:color w:val="auto"/>
          <w:szCs w:val="21"/>
        </w:rPr>
      </w:pPr>
      <w:r>
        <w:rPr>
          <w:rFonts w:hint="eastAsia" w:ascii="仿宋_GB2312" w:eastAsia="仿宋_GB2312"/>
          <w:color w:val="auto"/>
          <w:sz w:val="32"/>
          <w:szCs w:val="32"/>
        </w:rPr>
        <w:br w:type="page"/>
      </w:r>
      <w:r>
        <w:rPr>
          <w:rFonts w:hint="eastAsia" w:ascii="黑体" w:eastAsia="黑体"/>
          <w:color w:val="auto"/>
          <w:szCs w:val="21"/>
        </w:rPr>
        <w:t xml:space="preserve">附录 </w:t>
      </w:r>
    </w:p>
    <w:p w14:paraId="6A88C5C2">
      <w:pPr>
        <w:pStyle w:val="2"/>
        <w:bidi w:val="0"/>
        <w:rPr>
          <w:rFonts w:hint="eastAsia"/>
        </w:rPr>
      </w:pPr>
      <w:r>
        <w:rPr>
          <w:rFonts w:hint="eastAsia"/>
        </w:rPr>
        <w:t>华电阜康热电有限公司煤质异常处理单</w:t>
      </w:r>
    </w:p>
    <w:p w14:paraId="63827315">
      <w:pPr>
        <w:jc w:val="center"/>
        <w:rPr>
          <w:rFonts w:hint="eastAsia" w:ascii="宋体" w:hAnsi="宋体" w:eastAsia="宋体" w:cs="Times New Roman"/>
          <w:b w:val="0"/>
          <w:color w:val="auto"/>
          <w:sz w:val="24"/>
          <w:szCs w:val="24"/>
          <w:lang w:val="en-US" w:eastAsia="zh-CN"/>
        </w:rPr>
      </w:pPr>
      <w:r>
        <w:rPr>
          <w:rFonts w:hint="eastAsia" w:ascii="宋体" w:hAnsi="宋体" w:eastAsia="宋体" w:cs="Times New Roman"/>
          <w:b w:val="0"/>
          <w:color w:val="auto"/>
          <w:sz w:val="24"/>
          <w:szCs w:val="24"/>
          <w:lang w:val="en-US" w:eastAsia="zh-CN"/>
        </w:rPr>
        <w:t xml:space="preserve">                                 编号：</w:t>
      </w:r>
    </w:p>
    <w:tbl>
      <w:tblPr>
        <w:tblStyle w:val="6"/>
        <w:tblW w:w="87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992"/>
        <w:gridCol w:w="2410"/>
        <w:gridCol w:w="567"/>
        <w:gridCol w:w="992"/>
        <w:gridCol w:w="1843"/>
      </w:tblGrid>
      <w:tr w14:paraId="20C402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1951" w:type="dxa"/>
            <w:vAlign w:val="center"/>
          </w:tcPr>
          <w:p w14:paraId="44E02D40">
            <w:pPr>
              <w:keepNext w:val="0"/>
              <w:keepLines w:val="0"/>
              <w:pageBreakBefore w:val="0"/>
              <w:widowControl w:val="0"/>
              <w:kinsoku/>
              <w:wordWrap/>
              <w:overflowPunct/>
              <w:topLinePunct w:val="0"/>
              <w:autoSpaceDE/>
              <w:autoSpaceDN/>
              <w:bidi w:val="0"/>
              <w:adjustRightInd/>
              <w:snapToGrid/>
              <w:spacing w:line="240" w:lineRule="auto"/>
              <w:ind w:left="0" w:leftChars="0" w:right="0" w:firstLine="0" w:firstLineChars="0"/>
              <w:jc w:val="both"/>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运煤车辆车号</w:t>
            </w:r>
          </w:p>
        </w:tc>
        <w:tc>
          <w:tcPr>
            <w:tcW w:w="3402" w:type="dxa"/>
            <w:gridSpan w:val="2"/>
            <w:vAlign w:val="center"/>
          </w:tcPr>
          <w:p w14:paraId="4AD19927">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宋体" w:hAnsi="宋体" w:eastAsia="宋体" w:cs="宋体"/>
                <w:color w:val="auto"/>
                <w:sz w:val="24"/>
                <w:szCs w:val="24"/>
              </w:rPr>
            </w:pPr>
          </w:p>
        </w:tc>
        <w:tc>
          <w:tcPr>
            <w:tcW w:w="1559" w:type="dxa"/>
            <w:gridSpan w:val="2"/>
            <w:vAlign w:val="center"/>
          </w:tcPr>
          <w:p w14:paraId="0AB4F380">
            <w:pPr>
              <w:keepNext w:val="0"/>
              <w:keepLines w:val="0"/>
              <w:pageBreakBefore w:val="0"/>
              <w:widowControl w:val="0"/>
              <w:kinsoku/>
              <w:wordWrap/>
              <w:overflowPunct/>
              <w:topLinePunct w:val="0"/>
              <w:autoSpaceDE/>
              <w:autoSpaceDN/>
              <w:bidi w:val="0"/>
              <w:adjustRightInd/>
              <w:snapToGrid/>
              <w:spacing w:line="240" w:lineRule="auto"/>
              <w:ind w:left="0" w:leftChars="0" w:right="0" w:firstLine="0" w:firstLineChars="0"/>
              <w:jc w:val="both"/>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处理时间</w:t>
            </w:r>
          </w:p>
        </w:tc>
        <w:tc>
          <w:tcPr>
            <w:tcW w:w="1843" w:type="dxa"/>
            <w:vAlign w:val="top"/>
          </w:tcPr>
          <w:p w14:paraId="5A09396E">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宋体" w:hAnsi="宋体" w:eastAsia="宋体" w:cs="宋体"/>
                <w:color w:val="auto"/>
                <w:sz w:val="24"/>
                <w:szCs w:val="24"/>
              </w:rPr>
            </w:pPr>
          </w:p>
        </w:tc>
      </w:tr>
      <w:tr w14:paraId="381C0E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jc w:val="center"/>
        </w:trPr>
        <w:tc>
          <w:tcPr>
            <w:tcW w:w="1951" w:type="dxa"/>
            <w:vAlign w:val="center"/>
          </w:tcPr>
          <w:p w14:paraId="42D66592">
            <w:pPr>
              <w:keepNext w:val="0"/>
              <w:keepLines w:val="0"/>
              <w:pageBreakBefore w:val="0"/>
              <w:widowControl w:val="0"/>
              <w:kinsoku/>
              <w:wordWrap/>
              <w:overflowPunct/>
              <w:topLinePunct w:val="0"/>
              <w:autoSpaceDE/>
              <w:autoSpaceDN/>
              <w:bidi w:val="0"/>
              <w:adjustRightInd/>
              <w:snapToGrid/>
              <w:spacing w:line="240" w:lineRule="auto"/>
              <w:ind w:left="0" w:leftChars="0" w:right="0" w:firstLine="0" w:firstLineChars="0"/>
              <w:jc w:val="both"/>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供煤方公司名称</w:t>
            </w:r>
          </w:p>
        </w:tc>
        <w:tc>
          <w:tcPr>
            <w:tcW w:w="6804" w:type="dxa"/>
            <w:gridSpan w:val="5"/>
            <w:vAlign w:val="center"/>
          </w:tcPr>
          <w:p w14:paraId="031FBED8">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宋体" w:hAnsi="宋体" w:eastAsia="宋体" w:cs="宋体"/>
                <w:color w:val="auto"/>
                <w:sz w:val="24"/>
                <w:szCs w:val="24"/>
              </w:rPr>
            </w:pPr>
          </w:p>
        </w:tc>
      </w:tr>
      <w:tr w14:paraId="262052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1" w:hRule="atLeast"/>
          <w:jc w:val="center"/>
        </w:trPr>
        <w:tc>
          <w:tcPr>
            <w:tcW w:w="1951" w:type="dxa"/>
            <w:vAlign w:val="center"/>
          </w:tcPr>
          <w:p w14:paraId="4B345190">
            <w:pPr>
              <w:keepNext w:val="0"/>
              <w:keepLines w:val="0"/>
              <w:pageBreakBefore w:val="0"/>
              <w:widowControl w:val="0"/>
              <w:kinsoku/>
              <w:wordWrap/>
              <w:overflowPunct/>
              <w:topLinePunct w:val="0"/>
              <w:autoSpaceDE/>
              <w:autoSpaceDN/>
              <w:bidi w:val="0"/>
              <w:adjustRightInd/>
              <w:snapToGrid/>
              <w:spacing w:line="240" w:lineRule="auto"/>
              <w:ind w:left="0" w:leftChars="0" w:right="0" w:firstLine="0" w:firstLineChars="0"/>
              <w:jc w:val="both"/>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煤质异常原因</w:t>
            </w:r>
          </w:p>
        </w:tc>
        <w:tc>
          <w:tcPr>
            <w:tcW w:w="6804" w:type="dxa"/>
            <w:gridSpan w:val="5"/>
            <w:vAlign w:val="center"/>
          </w:tcPr>
          <w:p w14:paraId="72358BF0">
            <w:pPr>
              <w:pStyle w:val="8"/>
              <w:keepNext w:val="0"/>
              <w:keepLines w:val="0"/>
              <w:pageBreakBefore w:val="0"/>
              <w:widowControl w:val="0"/>
              <w:kinsoku/>
              <w:wordWrap/>
              <w:overflowPunct/>
              <w:topLinePunct w:val="0"/>
              <w:autoSpaceDE/>
              <w:autoSpaceDN/>
              <w:bidi w:val="0"/>
              <w:adjustRightInd/>
              <w:snapToGrid/>
              <w:spacing w:line="240" w:lineRule="auto"/>
              <w:ind w:left="0" w:right="0" w:firstLine="0" w:firstLineChars="0"/>
              <w:textAlignment w:val="auto"/>
              <w:rPr>
                <w:rFonts w:hint="eastAsia" w:ascii="宋体" w:hAnsi="宋体" w:eastAsia="宋体" w:cs="宋体"/>
                <w:sz w:val="24"/>
                <w:szCs w:val="24"/>
              </w:rPr>
            </w:pPr>
            <w:r>
              <w:rPr>
                <w:rFonts w:hint="eastAsia" w:ascii="宋体" w:hAnsi="宋体" w:eastAsia="宋体" w:cs="宋体"/>
                <w:spacing w:val="1"/>
                <w:sz w:val="24"/>
                <w:szCs w:val="24"/>
                <w:lang w:eastAsia="zh-CN"/>
              </w:rPr>
              <w:t>□</w:t>
            </w:r>
            <w:r>
              <w:rPr>
                <w:rFonts w:hint="eastAsia" w:cs="宋体"/>
                <w:spacing w:val="1"/>
                <w:sz w:val="24"/>
                <w:szCs w:val="24"/>
                <w:lang w:val="en-US" w:eastAsia="zh-CN"/>
              </w:rPr>
              <w:t>水分高于正常来煤</w:t>
            </w:r>
            <w:r>
              <w:rPr>
                <w:rFonts w:hint="eastAsia" w:ascii="宋体" w:hAnsi="宋体" w:eastAsia="宋体" w:cs="宋体"/>
                <w:spacing w:val="1"/>
                <w:sz w:val="24"/>
                <w:szCs w:val="24"/>
                <w:lang w:val="en-US" w:eastAsia="zh-CN"/>
              </w:rPr>
              <w:t xml:space="preserve">        </w:t>
            </w:r>
            <w:r>
              <w:rPr>
                <w:rFonts w:hint="eastAsia" w:ascii="宋体" w:hAnsi="宋体" w:eastAsia="宋体" w:cs="宋体"/>
                <w:spacing w:val="6"/>
                <w:sz w:val="24"/>
                <w:szCs w:val="24"/>
                <w:lang w:eastAsia="zh-CN"/>
              </w:rPr>
              <w:t>□</w:t>
            </w:r>
            <w:r>
              <w:rPr>
                <w:rFonts w:hint="eastAsia" w:ascii="宋体" w:hAnsi="宋体" w:eastAsia="宋体" w:cs="宋体"/>
                <w:spacing w:val="1"/>
                <w:sz w:val="24"/>
                <w:szCs w:val="24"/>
              </w:rPr>
              <w:t>石块/</w:t>
            </w:r>
            <w:r>
              <w:rPr>
                <w:rFonts w:hint="eastAsia" w:ascii="宋体" w:hAnsi="宋体" w:eastAsia="宋体" w:cs="宋体"/>
                <w:spacing w:val="6"/>
                <w:sz w:val="24"/>
                <w:szCs w:val="24"/>
              </w:rPr>
              <w:t>杂物</w:t>
            </w:r>
          </w:p>
          <w:p w14:paraId="5C811A16">
            <w:pPr>
              <w:pStyle w:val="8"/>
              <w:keepNext w:val="0"/>
              <w:keepLines w:val="0"/>
              <w:pageBreakBefore w:val="0"/>
              <w:widowControl w:val="0"/>
              <w:kinsoku/>
              <w:wordWrap/>
              <w:overflowPunct/>
              <w:topLinePunct w:val="0"/>
              <w:autoSpaceDE/>
              <w:autoSpaceDN/>
              <w:bidi w:val="0"/>
              <w:adjustRightInd/>
              <w:snapToGrid/>
              <w:spacing w:line="240" w:lineRule="auto"/>
              <w:ind w:left="0" w:right="0" w:firstLine="0" w:firstLineChars="0"/>
              <w:textAlignment w:val="auto"/>
              <w:rPr>
                <w:rFonts w:hint="default" w:ascii="宋体" w:hAnsi="宋体" w:eastAsia="宋体" w:cs="宋体"/>
                <w:sz w:val="24"/>
                <w:szCs w:val="24"/>
                <w:lang w:val="en-US"/>
              </w:rPr>
            </w:pPr>
            <w:r>
              <w:rPr>
                <w:rFonts w:hint="eastAsia" w:ascii="宋体" w:hAnsi="宋体" w:eastAsia="宋体" w:cs="宋体"/>
                <w:sz w:val="24"/>
                <w:szCs w:val="24"/>
              </w:rPr>
              <w:t>□</w:t>
            </w:r>
            <w:r>
              <w:rPr>
                <w:rFonts w:hint="eastAsia" w:cs="宋体"/>
                <w:sz w:val="24"/>
                <w:szCs w:val="24"/>
                <w:lang w:val="en-US" w:eastAsia="zh-CN"/>
              </w:rPr>
              <w:t xml:space="preserve">自燃                    </w:t>
            </w:r>
            <w:r>
              <w:rPr>
                <w:rFonts w:hint="eastAsia" w:cs="宋体"/>
                <w:spacing w:val="6"/>
                <w:sz w:val="24"/>
                <w:szCs w:val="24"/>
                <w:lang w:eastAsia="zh-CN"/>
              </w:rPr>
              <w:t>□</w:t>
            </w:r>
            <w:r>
              <w:rPr>
                <w:rFonts w:hint="eastAsia" w:cs="宋体"/>
                <w:spacing w:val="6"/>
                <w:sz w:val="24"/>
                <w:szCs w:val="24"/>
                <w:lang w:val="en-US" w:eastAsia="zh-CN"/>
              </w:rPr>
              <w:t>分层、包芯、铺底、分段</w:t>
            </w:r>
          </w:p>
          <w:p w14:paraId="75309F72">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ascii="宋体" w:hAnsi="宋体" w:eastAsia="宋体" w:cs="宋体"/>
                <w:color w:val="auto"/>
                <w:sz w:val="24"/>
                <w:szCs w:val="24"/>
                <w:lang w:val="en-US" w:eastAsia="zh-CN"/>
              </w:rPr>
            </w:pPr>
          </w:p>
          <w:p w14:paraId="56C9BFF7">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ascii="宋体" w:hAnsi="宋体" w:eastAsia="宋体" w:cs="宋体"/>
                <w:color w:val="auto"/>
                <w:sz w:val="24"/>
                <w:szCs w:val="24"/>
                <w:lang w:val="en-US" w:eastAsia="zh-CN"/>
              </w:rPr>
            </w:pPr>
          </w:p>
          <w:p w14:paraId="7CC6CE6A">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根据</w:t>
            </w:r>
            <w:r>
              <w:rPr>
                <w:rFonts w:hint="eastAsia" w:ascii="宋体" w:hAnsi="宋体" w:eastAsia="宋体" w:cs="宋体"/>
                <w:color w:val="auto"/>
                <w:sz w:val="24"/>
                <w:szCs w:val="24"/>
              </w:rPr>
              <w:t>办法</w:t>
            </w:r>
            <w:r>
              <w:rPr>
                <w:rFonts w:hint="eastAsia" w:ascii="宋体" w:hAnsi="宋体" w:eastAsia="宋体" w:cs="宋体"/>
                <w:color w:val="auto"/>
                <w:sz w:val="24"/>
                <w:szCs w:val="24"/>
                <w:lang w:val="en-US" w:eastAsia="zh-CN"/>
              </w:rPr>
              <w:t>第     条确定</w:t>
            </w:r>
          </w:p>
        </w:tc>
      </w:tr>
      <w:tr w14:paraId="79BEFA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4" w:hRule="atLeast"/>
          <w:jc w:val="center"/>
        </w:trPr>
        <w:tc>
          <w:tcPr>
            <w:tcW w:w="1951" w:type="dxa"/>
            <w:vAlign w:val="center"/>
          </w:tcPr>
          <w:p w14:paraId="60816D25">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煤质异常处理结果</w:t>
            </w:r>
          </w:p>
        </w:tc>
        <w:tc>
          <w:tcPr>
            <w:tcW w:w="6804" w:type="dxa"/>
            <w:gridSpan w:val="5"/>
            <w:vAlign w:val="center"/>
          </w:tcPr>
          <w:p w14:paraId="70208D39">
            <w:pPr>
              <w:pStyle w:val="8"/>
              <w:keepNext w:val="0"/>
              <w:keepLines w:val="0"/>
              <w:pageBreakBefore w:val="0"/>
              <w:widowControl w:val="0"/>
              <w:kinsoku/>
              <w:wordWrap/>
              <w:overflowPunct/>
              <w:topLinePunct w:val="0"/>
              <w:autoSpaceDE/>
              <w:autoSpaceDN/>
              <w:bidi w:val="0"/>
              <w:adjustRightInd/>
              <w:snapToGrid/>
              <w:spacing w:line="240" w:lineRule="auto"/>
              <w:ind w:right="0" w:firstLine="0" w:firstLineChars="0"/>
              <w:jc w:val="left"/>
              <w:textAlignment w:val="auto"/>
              <w:rPr>
                <w:rFonts w:hint="eastAsia" w:ascii="宋体" w:hAnsi="宋体" w:eastAsia="宋体" w:cs="宋体"/>
                <w:b w:val="0"/>
                <w:bCs w:val="0"/>
                <w:spacing w:val="1"/>
                <w:sz w:val="24"/>
                <w:szCs w:val="24"/>
                <w:lang w:val="en-US" w:eastAsia="zh-CN"/>
              </w:rPr>
            </w:pPr>
            <w:r>
              <w:rPr>
                <w:rFonts w:hint="eastAsia" w:ascii="宋体" w:hAnsi="宋体" w:eastAsia="宋体" w:cs="宋体"/>
                <w:spacing w:val="1"/>
                <w:sz w:val="24"/>
                <w:szCs w:val="24"/>
                <w:lang w:eastAsia="zh-CN"/>
              </w:rPr>
              <w:t>□扣吨（扣吨量）</w:t>
            </w:r>
            <w:r>
              <w:rPr>
                <w:rFonts w:hint="eastAsia" w:ascii="宋体" w:hAnsi="宋体" w:eastAsia="宋体" w:cs="宋体"/>
                <w:spacing w:val="1"/>
                <w:sz w:val="24"/>
                <w:szCs w:val="24"/>
                <w:lang w:val="en-US" w:eastAsia="zh-CN"/>
              </w:rPr>
              <w:t xml:space="preserve">      </w:t>
            </w:r>
            <w:r>
              <w:rPr>
                <w:rFonts w:hint="eastAsia" w:cs="宋体"/>
                <w:spacing w:val="1"/>
                <w:sz w:val="24"/>
                <w:szCs w:val="24"/>
                <w:lang w:val="en-US" w:eastAsia="zh-CN"/>
              </w:rPr>
              <w:t xml:space="preserve">    </w:t>
            </w:r>
            <w:r>
              <w:rPr>
                <w:rFonts w:hint="eastAsia" w:ascii="宋体" w:hAnsi="宋体" w:eastAsia="宋体" w:cs="宋体"/>
                <w:spacing w:val="1"/>
                <w:sz w:val="24"/>
                <w:szCs w:val="24"/>
                <w:lang w:eastAsia="zh-CN"/>
              </w:rPr>
              <w:t>□</w:t>
            </w:r>
            <w:r>
              <w:rPr>
                <w:rFonts w:hint="eastAsia" w:cs="宋体"/>
                <w:b w:val="0"/>
                <w:bCs w:val="0"/>
                <w:spacing w:val="1"/>
                <w:sz w:val="24"/>
                <w:szCs w:val="24"/>
                <w:lang w:val="en-US" w:eastAsia="zh-CN"/>
              </w:rPr>
              <w:t>调整煤质</w:t>
            </w:r>
            <w:r>
              <w:rPr>
                <w:rFonts w:hint="eastAsia" w:ascii="宋体" w:hAnsi="宋体" w:eastAsia="宋体" w:cs="宋体"/>
                <w:b w:val="0"/>
                <w:bCs w:val="0"/>
                <w:spacing w:val="1"/>
                <w:sz w:val="24"/>
                <w:szCs w:val="24"/>
                <w:lang w:val="en-US" w:eastAsia="zh-CN"/>
              </w:rPr>
              <w:t xml:space="preserve">        </w:t>
            </w:r>
            <w:r>
              <w:rPr>
                <w:rFonts w:hint="eastAsia" w:ascii="宋体" w:hAnsi="宋体" w:eastAsia="宋体" w:cs="宋体"/>
                <w:spacing w:val="1"/>
                <w:sz w:val="24"/>
                <w:szCs w:val="24"/>
                <w:lang w:eastAsia="zh-CN"/>
              </w:rPr>
              <w:t>□</w:t>
            </w:r>
            <w:r>
              <w:rPr>
                <w:rFonts w:hint="eastAsia" w:cs="宋体"/>
                <w:spacing w:val="1"/>
                <w:sz w:val="24"/>
                <w:szCs w:val="24"/>
                <w:lang w:val="en-US" w:eastAsia="zh-CN"/>
              </w:rPr>
              <w:t>不予结算</w:t>
            </w:r>
            <w:r>
              <w:rPr>
                <w:rFonts w:hint="eastAsia" w:ascii="宋体" w:hAnsi="宋体" w:eastAsia="宋体" w:cs="宋体"/>
                <w:b w:val="0"/>
                <w:bCs w:val="0"/>
                <w:spacing w:val="1"/>
                <w:sz w:val="24"/>
                <w:szCs w:val="24"/>
                <w:lang w:val="en-US" w:eastAsia="zh-CN"/>
              </w:rPr>
              <w:t xml:space="preserve">   </w:t>
            </w:r>
          </w:p>
          <w:p w14:paraId="48CAE250">
            <w:pPr>
              <w:pStyle w:val="8"/>
              <w:keepNext w:val="0"/>
              <w:keepLines w:val="0"/>
              <w:pageBreakBefore w:val="0"/>
              <w:widowControl w:val="0"/>
              <w:kinsoku/>
              <w:wordWrap/>
              <w:overflowPunct/>
              <w:topLinePunct w:val="0"/>
              <w:autoSpaceDE/>
              <w:autoSpaceDN/>
              <w:bidi w:val="0"/>
              <w:adjustRightInd/>
              <w:snapToGrid/>
              <w:spacing w:line="240" w:lineRule="auto"/>
              <w:ind w:right="0" w:firstLine="0" w:firstLineChars="0"/>
              <w:jc w:val="left"/>
              <w:textAlignment w:val="auto"/>
              <w:rPr>
                <w:rFonts w:hint="eastAsia" w:ascii="宋体" w:hAnsi="宋体" w:eastAsia="宋体" w:cs="宋体"/>
                <w:b w:val="0"/>
                <w:bCs w:val="0"/>
                <w:spacing w:val="1"/>
                <w:sz w:val="24"/>
                <w:szCs w:val="24"/>
                <w:lang w:eastAsia="zh-CN"/>
              </w:rPr>
            </w:pPr>
            <w:r>
              <w:rPr>
                <w:rFonts w:hint="eastAsia" w:ascii="宋体" w:hAnsi="宋体" w:eastAsia="宋体" w:cs="宋体"/>
                <w:spacing w:val="1"/>
                <w:sz w:val="24"/>
                <w:szCs w:val="24"/>
                <w:lang w:eastAsia="zh-CN"/>
              </w:rPr>
              <w:t>□</w:t>
            </w:r>
            <w:r>
              <w:rPr>
                <w:rFonts w:hint="eastAsia" w:cs="宋体"/>
                <w:spacing w:val="1"/>
                <w:sz w:val="24"/>
                <w:szCs w:val="24"/>
                <w:lang w:val="en-US" w:eastAsia="zh-CN"/>
              </w:rPr>
              <w:t>供应商</w:t>
            </w:r>
            <w:r>
              <w:rPr>
                <w:rFonts w:hint="eastAsia" w:cs="宋体"/>
                <w:b w:val="0"/>
                <w:bCs w:val="0"/>
                <w:spacing w:val="1"/>
                <w:sz w:val="24"/>
                <w:szCs w:val="24"/>
                <w:lang w:val="en-US" w:eastAsia="zh-CN"/>
              </w:rPr>
              <w:t>阶段性退出6个月</w:t>
            </w:r>
            <w:r>
              <w:rPr>
                <w:rFonts w:hint="eastAsia" w:ascii="宋体" w:hAnsi="宋体" w:eastAsia="宋体" w:cs="宋体"/>
                <w:b w:val="0"/>
                <w:bCs w:val="0"/>
                <w:spacing w:val="1"/>
                <w:sz w:val="24"/>
                <w:szCs w:val="24"/>
                <w:lang w:val="en-US" w:eastAsia="zh-CN"/>
              </w:rPr>
              <w:t xml:space="preserve">  </w:t>
            </w:r>
            <w:r>
              <w:rPr>
                <w:rFonts w:hint="eastAsia" w:cs="宋体"/>
                <w:spacing w:val="1"/>
                <w:sz w:val="24"/>
                <w:szCs w:val="24"/>
                <w:lang w:eastAsia="zh-CN"/>
              </w:rPr>
              <w:t>□</w:t>
            </w:r>
            <w:r>
              <w:rPr>
                <w:rFonts w:hint="eastAsia" w:cs="宋体"/>
                <w:spacing w:val="1"/>
                <w:sz w:val="24"/>
                <w:szCs w:val="24"/>
                <w:lang w:val="en-US" w:eastAsia="zh-CN"/>
              </w:rPr>
              <w:t>供应商</w:t>
            </w:r>
            <w:r>
              <w:rPr>
                <w:rFonts w:hint="eastAsia" w:cs="宋体"/>
                <w:b w:val="0"/>
                <w:bCs w:val="0"/>
                <w:spacing w:val="1"/>
                <w:sz w:val="24"/>
                <w:szCs w:val="24"/>
                <w:lang w:val="en-US" w:eastAsia="zh-CN"/>
              </w:rPr>
              <w:t>永久性退出</w:t>
            </w:r>
          </w:p>
          <w:p w14:paraId="1854F521">
            <w:pPr>
              <w:pStyle w:val="8"/>
              <w:keepNext w:val="0"/>
              <w:keepLines w:val="0"/>
              <w:pageBreakBefore w:val="0"/>
              <w:widowControl w:val="0"/>
              <w:kinsoku/>
              <w:wordWrap/>
              <w:overflowPunct/>
              <w:topLinePunct w:val="0"/>
              <w:autoSpaceDE/>
              <w:autoSpaceDN/>
              <w:bidi w:val="0"/>
              <w:adjustRightInd/>
              <w:snapToGrid/>
              <w:spacing w:line="240" w:lineRule="auto"/>
              <w:ind w:right="0" w:firstLine="0" w:firstLineChars="0"/>
              <w:jc w:val="left"/>
              <w:textAlignment w:val="auto"/>
              <w:rPr>
                <w:rFonts w:hint="eastAsia" w:ascii="宋体" w:hAnsi="宋体" w:eastAsia="宋体" w:cs="宋体"/>
                <w:b w:val="0"/>
                <w:bCs w:val="0"/>
                <w:spacing w:val="1"/>
                <w:sz w:val="24"/>
                <w:szCs w:val="24"/>
                <w:lang w:eastAsia="zh-CN"/>
              </w:rPr>
            </w:pPr>
            <w:r>
              <w:rPr>
                <w:rFonts w:hint="eastAsia" w:ascii="宋体" w:hAnsi="宋体" w:eastAsia="宋体" w:cs="宋体"/>
                <w:spacing w:val="1"/>
                <w:sz w:val="24"/>
                <w:szCs w:val="24"/>
                <w:lang w:eastAsia="zh-CN"/>
              </w:rPr>
              <w:t>□</w:t>
            </w:r>
            <w:r>
              <w:rPr>
                <w:rFonts w:hint="eastAsia" w:ascii="宋体" w:hAnsi="宋体" w:eastAsia="宋体" w:cs="宋体"/>
                <w:b w:val="0"/>
                <w:bCs w:val="0"/>
                <w:spacing w:val="1"/>
                <w:sz w:val="24"/>
                <w:szCs w:val="24"/>
                <w:lang w:eastAsia="zh-CN"/>
              </w:rPr>
              <w:t>其他：</w:t>
            </w:r>
          </w:p>
          <w:p w14:paraId="28266586">
            <w:pPr>
              <w:pStyle w:val="8"/>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宋体" w:hAnsi="宋体" w:eastAsia="宋体" w:cs="宋体"/>
                <w:b w:val="0"/>
                <w:bCs w:val="0"/>
                <w:spacing w:val="1"/>
                <w:sz w:val="24"/>
                <w:szCs w:val="24"/>
                <w:lang w:eastAsia="zh-CN"/>
              </w:rPr>
            </w:pPr>
          </w:p>
          <w:p w14:paraId="06B3060E">
            <w:pPr>
              <w:pStyle w:val="8"/>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ascii="宋体" w:hAnsi="宋体" w:eastAsia="宋体" w:cs="宋体"/>
                <w:color w:val="auto"/>
                <w:sz w:val="24"/>
                <w:szCs w:val="24"/>
                <w:lang w:val="en-US" w:eastAsia="zh-CN"/>
              </w:rPr>
            </w:pPr>
          </w:p>
          <w:p w14:paraId="1CE35060">
            <w:pPr>
              <w:pStyle w:val="8"/>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ascii="宋体" w:hAnsi="宋体" w:eastAsia="宋体" w:cs="宋体"/>
                <w:color w:val="auto"/>
                <w:sz w:val="24"/>
                <w:szCs w:val="24"/>
                <w:lang w:val="en-US" w:eastAsia="zh-CN"/>
              </w:rPr>
            </w:pPr>
          </w:p>
          <w:p w14:paraId="4C91F4EF">
            <w:pPr>
              <w:pStyle w:val="8"/>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ascii="宋体" w:hAnsi="宋体" w:eastAsia="宋体" w:cs="宋体"/>
                <w:b w:val="0"/>
                <w:bCs w:val="0"/>
                <w:spacing w:val="1"/>
                <w:sz w:val="24"/>
                <w:szCs w:val="24"/>
                <w:lang w:eastAsia="zh-CN"/>
              </w:rPr>
            </w:pPr>
            <w:r>
              <w:rPr>
                <w:rFonts w:hint="eastAsia" w:ascii="宋体" w:hAnsi="宋体" w:eastAsia="宋体" w:cs="宋体"/>
                <w:color w:val="auto"/>
                <w:sz w:val="24"/>
                <w:szCs w:val="24"/>
                <w:lang w:val="en-US" w:eastAsia="zh-CN"/>
              </w:rPr>
              <w:t>根据</w:t>
            </w:r>
            <w:r>
              <w:rPr>
                <w:rFonts w:hint="eastAsia" w:ascii="宋体" w:hAnsi="宋体" w:eastAsia="宋体" w:cs="宋体"/>
                <w:color w:val="auto"/>
                <w:sz w:val="24"/>
                <w:szCs w:val="24"/>
              </w:rPr>
              <w:t>办法</w:t>
            </w:r>
            <w:r>
              <w:rPr>
                <w:rFonts w:hint="eastAsia" w:ascii="宋体" w:hAnsi="宋体" w:eastAsia="宋体" w:cs="宋体"/>
                <w:color w:val="auto"/>
                <w:sz w:val="24"/>
                <w:szCs w:val="24"/>
                <w:lang w:val="en-US" w:eastAsia="zh-CN"/>
              </w:rPr>
              <w:t>第     条确定</w:t>
            </w:r>
          </w:p>
        </w:tc>
      </w:tr>
      <w:tr w14:paraId="624E27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6" w:hRule="atLeast"/>
          <w:jc w:val="center"/>
        </w:trPr>
        <w:tc>
          <w:tcPr>
            <w:tcW w:w="2943" w:type="dxa"/>
            <w:gridSpan w:val="2"/>
            <w:vAlign w:val="top"/>
          </w:tcPr>
          <w:p w14:paraId="11B37E70">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发现人</w:t>
            </w:r>
          </w:p>
          <w:p w14:paraId="3B4E2FF3">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签字：</w:t>
            </w:r>
          </w:p>
          <w:p w14:paraId="1533E7EF">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left"/>
              <w:textAlignment w:val="auto"/>
              <w:rPr>
                <w:rFonts w:hint="eastAsia" w:ascii="宋体" w:hAnsi="宋体" w:eastAsia="宋体" w:cs="宋体"/>
                <w:color w:val="auto"/>
                <w:sz w:val="24"/>
                <w:szCs w:val="24"/>
              </w:rPr>
            </w:pPr>
          </w:p>
          <w:p w14:paraId="29B7E89E">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left"/>
              <w:textAlignment w:val="auto"/>
              <w:rPr>
                <w:rFonts w:hint="eastAsia" w:ascii="宋体" w:hAnsi="宋体" w:eastAsia="宋体" w:cs="宋体"/>
                <w:color w:val="auto"/>
                <w:sz w:val="24"/>
                <w:szCs w:val="24"/>
              </w:rPr>
            </w:pPr>
          </w:p>
        </w:tc>
        <w:tc>
          <w:tcPr>
            <w:tcW w:w="2977" w:type="dxa"/>
            <w:gridSpan w:val="2"/>
            <w:vAlign w:val="top"/>
          </w:tcPr>
          <w:p w14:paraId="261B4B0D">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运行部</w:t>
            </w:r>
          </w:p>
          <w:p w14:paraId="5640F7C7">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签字：</w:t>
            </w:r>
          </w:p>
        </w:tc>
        <w:tc>
          <w:tcPr>
            <w:tcW w:w="2835" w:type="dxa"/>
            <w:gridSpan w:val="2"/>
            <w:vAlign w:val="top"/>
          </w:tcPr>
          <w:p w14:paraId="56D66E41">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燃供部</w:t>
            </w:r>
          </w:p>
          <w:p w14:paraId="7D7C28CD">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签字：</w:t>
            </w:r>
          </w:p>
          <w:p w14:paraId="1740E052">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left"/>
              <w:textAlignment w:val="auto"/>
              <w:rPr>
                <w:rFonts w:hint="eastAsia" w:ascii="宋体" w:hAnsi="宋体" w:eastAsia="宋体" w:cs="宋体"/>
                <w:color w:val="auto"/>
                <w:sz w:val="24"/>
                <w:szCs w:val="24"/>
              </w:rPr>
            </w:pPr>
          </w:p>
        </w:tc>
      </w:tr>
      <w:tr w14:paraId="6547A5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6" w:hRule="atLeast"/>
          <w:jc w:val="center"/>
        </w:trPr>
        <w:tc>
          <w:tcPr>
            <w:tcW w:w="2943" w:type="dxa"/>
            <w:gridSpan w:val="2"/>
            <w:vAlign w:val="top"/>
          </w:tcPr>
          <w:p w14:paraId="24F4C7C1">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left"/>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生产技术部</w:t>
            </w:r>
          </w:p>
          <w:p w14:paraId="4551AC3F">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签字：</w:t>
            </w:r>
          </w:p>
        </w:tc>
        <w:tc>
          <w:tcPr>
            <w:tcW w:w="2977" w:type="dxa"/>
            <w:gridSpan w:val="2"/>
            <w:vAlign w:val="top"/>
          </w:tcPr>
          <w:p w14:paraId="6F5AF699">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燃料</w:t>
            </w:r>
            <w:r>
              <w:rPr>
                <w:rFonts w:hint="eastAsia" w:ascii="宋体" w:hAnsi="宋体" w:eastAsia="宋体" w:cs="宋体"/>
                <w:color w:val="auto"/>
                <w:sz w:val="24"/>
                <w:szCs w:val="24"/>
                <w:lang w:val="en-US" w:eastAsia="zh-CN"/>
              </w:rPr>
              <w:t>质量</w:t>
            </w:r>
            <w:r>
              <w:rPr>
                <w:rFonts w:hint="eastAsia" w:ascii="宋体" w:hAnsi="宋体" w:eastAsia="宋体" w:cs="宋体"/>
                <w:color w:val="auto"/>
                <w:sz w:val="24"/>
                <w:szCs w:val="24"/>
              </w:rPr>
              <w:t>管理小组</w:t>
            </w:r>
          </w:p>
          <w:p w14:paraId="0E19657D">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left"/>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rPr>
              <w:t>组长审批</w:t>
            </w:r>
            <w:r>
              <w:rPr>
                <w:rFonts w:hint="eastAsia" w:ascii="宋体" w:hAnsi="宋体" w:eastAsia="宋体" w:cs="宋体"/>
                <w:color w:val="auto"/>
                <w:sz w:val="24"/>
                <w:szCs w:val="24"/>
                <w:lang w:eastAsia="zh-CN"/>
              </w:rPr>
              <w:t>：</w:t>
            </w:r>
            <w:bookmarkStart w:id="1" w:name="_GoBack"/>
            <w:bookmarkEnd w:id="1"/>
          </w:p>
          <w:p w14:paraId="711484F5">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left"/>
              <w:textAlignment w:val="auto"/>
              <w:rPr>
                <w:rFonts w:hint="eastAsia" w:ascii="宋体" w:hAnsi="宋体" w:eastAsia="宋体" w:cs="宋体"/>
                <w:color w:val="auto"/>
                <w:sz w:val="24"/>
                <w:szCs w:val="24"/>
              </w:rPr>
            </w:pPr>
          </w:p>
        </w:tc>
        <w:tc>
          <w:tcPr>
            <w:tcW w:w="2835" w:type="dxa"/>
            <w:gridSpan w:val="2"/>
            <w:vAlign w:val="top"/>
          </w:tcPr>
          <w:p w14:paraId="723DAFFF">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left"/>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供应商</w:t>
            </w:r>
          </w:p>
          <w:p w14:paraId="215F09E3">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签字：</w:t>
            </w:r>
          </w:p>
        </w:tc>
      </w:tr>
      <w:tr w14:paraId="3F58B8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2" w:hRule="atLeast"/>
          <w:jc w:val="center"/>
        </w:trPr>
        <w:tc>
          <w:tcPr>
            <w:tcW w:w="2943" w:type="dxa"/>
            <w:gridSpan w:val="2"/>
            <w:vAlign w:val="top"/>
          </w:tcPr>
          <w:p w14:paraId="60A9F6DA">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left"/>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职能监督人员</w:t>
            </w:r>
          </w:p>
          <w:p w14:paraId="46FF47A7">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left"/>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签字</w:t>
            </w:r>
            <w:r>
              <w:rPr>
                <w:rFonts w:hint="eastAsia" w:ascii="宋体" w:hAnsi="宋体" w:eastAsia="宋体" w:cs="宋体"/>
                <w:color w:val="auto"/>
                <w:sz w:val="24"/>
                <w:szCs w:val="24"/>
              </w:rPr>
              <w:t>：</w:t>
            </w:r>
          </w:p>
        </w:tc>
        <w:tc>
          <w:tcPr>
            <w:tcW w:w="2977" w:type="dxa"/>
            <w:gridSpan w:val="2"/>
            <w:vAlign w:val="top"/>
          </w:tcPr>
          <w:p w14:paraId="7FE51D63">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调整</w:t>
            </w:r>
            <w:r>
              <w:rPr>
                <w:rFonts w:hint="eastAsia" w:ascii="宋体" w:hAnsi="宋体" w:eastAsia="宋体" w:cs="宋体"/>
                <w:color w:val="auto"/>
                <w:sz w:val="24"/>
                <w:szCs w:val="24"/>
              </w:rPr>
              <w:t>记录</w:t>
            </w:r>
          </w:p>
          <w:p w14:paraId="1BD54C42">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确认签字</w:t>
            </w:r>
            <w:r>
              <w:rPr>
                <w:rFonts w:hint="eastAsia" w:ascii="宋体" w:hAnsi="宋体" w:eastAsia="宋体" w:cs="宋体"/>
                <w:color w:val="auto"/>
                <w:sz w:val="24"/>
                <w:szCs w:val="24"/>
              </w:rPr>
              <w:t>：</w:t>
            </w:r>
          </w:p>
          <w:p w14:paraId="2AE9603F">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left"/>
              <w:textAlignment w:val="auto"/>
              <w:rPr>
                <w:rFonts w:hint="eastAsia" w:ascii="宋体" w:hAnsi="宋体" w:eastAsia="宋体" w:cs="宋体"/>
                <w:color w:val="auto"/>
                <w:sz w:val="24"/>
                <w:szCs w:val="24"/>
              </w:rPr>
            </w:pPr>
          </w:p>
        </w:tc>
        <w:tc>
          <w:tcPr>
            <w:tcW w:w="2835" w:type="dxa"/>
            <w:gridSpan w:val="2"/>
            <w:vAlign w:val="top"/>
          </w:tcPr>
          <w:p w14:paraId="32746DEA">
            <w:pPr>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备注：</w:t>
            </w:r>
          </w:p>
        </w:tc>
      </w:tr>
    </w:tbl>
    <w:p w14:paraId="511237A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color w:val="auto"/>
          <w:sz w:val="24"/>
          <w:szCs w:val="24"/>
        </w:rPr>
      </w:pPr>
      <w:r>
        <w:rPr>
          <w:rFonts w:hint="eastAsia"/>
          <w:color w:val="auto"/>
          <w:sz w:val="24"/>
          <w:szCs w:val="24"/>
        </w:rPr>
        <w:t>备注：</w:t>
      </w:r>
    </w:p>
    <w:p w14:paraId="7DAF05F5">
      <w:pPr>
        <w:keepNext w:val="0"/>
        <w:keepLines w:val="0"/>
        <w:pageBreakBefore w:val="0"/>
        <w:widowControl w:val="0"/>
        <w:numPr>
          <w:ilvl w:val="0"/>
          <w:numId w:val="3"/>
        </w:numPr>
        <w:kinsoku/>
        <w:wordWrap/>
        <w:overflowPunct/>
        <w:topLinePunct w:val="0"/>
        <w:autoSpaceDE/>
        <w:autoSpaceDN/>
        <w:bidi w:val="0"/>
        <w:adjustRightInd/>
        <w:snapToGrid/>
        <w:spacing w:line="240" w:lineRule="auto"/>
        <w:textAlignment w:val="auto"/>
        <w:rPr>
          <w:rFonts w:hint="eastAsia"/>
          <w:color w:val="auto"/>
          <w:sz w:val="24"/>
          <w:szCs w:val="24"/>
        </w:rPr>
      </w:pPr>
      <w:r>
        <w:rPr>
          <w:rFonts w:hint="eastAsia"/>
          <w:color w:val="auto"/>
          <w:sz w:val="24"/>
          <w:szCs w:val="24"/>
        </w:rPr>
        <w:t>本处理单一式</w:t>
      </w:r>
      <w:r>
        <w:rPr>
          <w:rFonts w:hint="eastAsia"/>
          <w:color w:val="auto"/>
          <w:sz w:val="24"/>
          <w:szCs w:val="24"/>
          <w:lang w:val="en-US" w:eastAsia="zh-CN"/>
        </w:rPr>
        <w:t>三</w:t>
      </w:r>
      <w:r>
        <w:rPr>
          <w:rFonts w:hint="eastAsia"/>
          <w:color w:val="auto"/>
          <w:sz w:val="24"/>
          <w:szCs w:val="24"/>
        </w:rPr>
        <w:t>联（燃供部、</w:t>
      </w:r>
      <w:r>
        <w:rPr>
          <w:rFonts w:hint="eastAsia"/>
          <w:color w:val="auto"/>
          <w:sz w:val="24"/>
          <w:szCs w:val="24"/>
          <w:lang w:eastAsia="zh-CN"/>
        </w:rPr>
        <w:t>生产技术部</w:t>
      </w:r>
      <w:r>
        <w:rPr>
          <w:rFonts w:hint="eastAsia"/>
          <w:color w:val="auto"/>
          <w:sz w:val="24"/>
          <w:szCs w:val="24"/>
        </w:rPr>
        <w:t>、运行部各一联），</w:t>
      </w:r>
      <w:r>
        <w:rPr>
          <w:rFonts w:hint="eastAsia"/>
          <w:color w:val="auto"/>
          <w:sz w:val="24"/>
          <w:szCs w:val="24"/>
          <w:lang w:val="en-US" w:eastAsia="zh-CN"/>
        </w:rPr>
        <w:t>运行部建立并</w:t>
      </w:r>
      <w:r>
        <w:rPr>
          <w:rFonts w:hint="eastAsia"/>
          <w:color w:val="auto"/>
          <w:sz w:val="24"/>
          <w:szCs w:val="24"/>
        </w:rPr>
        <w:t>录入《入厂煤煤质异常处理台账》。</w:t>
      </w:r>
    </w:p>
    <w:p w14:paraId="5AD4722D">
      <w:pPr>
        <w:keepNext w:val="0"/>
        <w:keepLines w:val="0"/>
        <w:pageBreakBefore w:val="0"/>
        <w:widowControl w:val="0"/>
        <w:numPr>
          <w:ilvl w:val="0"/>
          <w:numId w:val="3"/>
        </w:numPr>
        <w:kinsoku/>
        <w:wordWrap/>
        <w:overflowPunct/>
        <w:topLinePunct w:val="0"/>
        <w:autoSpaceDE/>
        <w:autoSpaceDN/>
        <w:bidi w:val="0"/>
        <w:adjustRightInd/>
        <w:snapToGrid/>
        <w:spacing w:line="240" w:lineRule="auto"/>
        <w:textAlignment w:val="auto"/>
        <w:rPr>
          <w:rFonts w:hint="eastAsia"/>
          <w:color w:val="auto"/>
          <w:sz w:val="24"/>
          <w:szCs w:val="24"/>
        </w:rPr>
      </w:pPr>
      <w:r>
        <w:rPr>
          <w:rFonts w:hint="eastAsia"/>
          <w:color w:val="auto"/>
          <w:sz w:val="24"/>
          <w:szCs w:val="24"/>
        </w:rPr>
        <w:t>本单保存期限：3年。</w:t>
      </w:r>
    </w:p>
    <w:p w14:paraId="7CB168E2">
      <w:pPr>
        <w:keepNext w:val="0"/>
        <w:keepLines w:val="0"/>
        <w:pageBreakBefore w:val="0"/>
        <w:widowControl w:val="0"/>
        <w:kinsoku/>
        <w:wordWrap/>
        <w:overflowPunct/>
        <w:topLinePunct w:val="0"/>
        <w:autoSpaceDE/>
        <w:autoSpaceDN/>
        <w:bidi w:val="0"/>
        <w:adjustRightInd/>
        <w:snapToGrid/>
        <w:spacing w:line="240" w:lineRule="auto"/>
        <w:ind w:firstLine="480" w:firstLineChars="200"/>
        <w:jc w:val="both"/>
        <w:textAlignment w:val="auto"/>
      </w:pPr>
      <w:r>
        <w:rPr>
          <w:rFonts w:hint="eastAsia"/>
          <w:color w:val="auto"/>
          <w:sz w:val="24"/>
          <w:szCs w:val="24"/>
          <w:lang w:val="en-US" w:eastAsia="zh-CN"/>
        </w:rPr>
        <w:t xml:space="preserve">3. </w:t>
      </w:r>
      <w:r>
        <w:rPr>
          <w:rFonts w:ascii="仿宋_GB2312" w:hAnsi="仿宋_GB2312" w:eastAsia="仿宋_GB2312" w:cs="仿宋_GB2312"/>
          <w:color w:val="auto"/>
          <w:kern w:val="2"/>
          <w:sz w:val="24"/>
          <w:szCs w:val="24"/>
          <w:lang w:bidi="ar-SA"/>
        </w:rPr>
        <w:t>在此处理单后，煤场管理员需附上至少两张现场照片作为处理依据。</w:t>
      </w:r>
    </w:p>
    <w:sectPr>
      <w:headerReference r:id="rId5" w:type="first"/>
      <w:footerReference r:id="rId7" w:type="first"/>
      <w:footerReference r:id="rId6" w:type="default"/>
      <w:pgSz w:w="11906" w:h="16838"/>
      <w:pgMar w:top="2098" w:right="1474" w:bottom="1984" w:left="1587" w:header="851" w:footer="1417" w:gutter="0"/>
      <w:pgNumType w:fmt="numberInDash" w:start="1"/>
      <w:cols w:space="720" w:num="1"/>
      <w:titlePg/>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109A80">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6299B03">
                          <w:pPr>
                            <w:pStyle w:val="4"/>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6299B03">
                    <w:pPr>
                      <w:pStyle w:val="4"/>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6EEB40">
    <w:pPr>
      <w:pStyle w:val="4"/>
      <w:tabs>
        <w:tab w:val="left" w:pos="3210"/>
        <w:tab w:val="clear" w:pos="4153"/>
      </w:tabs>
      <w:rPr>
        <w:rFonts w:hint="eastAsia" w:eastAsia="仿宋_GB2312"/>
        <w:lang w:eastAsia="zh-CN"/>
      </w:rPr>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C946656">
                          <w:pPr>
                            <w:pStyle w:val="4"/>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5C946656">
                    <w:pPr>
                      <w:pStyle w:val="4"/>
                    </w:pPr>
                    <w:r>
                      <w:fldChar w:fldCharType="begin"/>
                    </w:r>
                    <w:r>
                      <w:instrText xml:space="preserve"> PAGE  \* MERGEFORMAT </w:instrText>
                    </w:r>
                    <w:r>
                      <w:fldChar w:fldCharType="separate"/>
                    </w:r>
                    <w:r>
                      <w:t>- 1 -</w:t>
                    </w:r>
                    <w:r>
                      <w:fldChar w:fldCharType="end"/>
                    </w:r>
                  </w:p>
                </w:txbxContent>
              </v:textbox>
            </v:shape>
          </w:pict>
        </mc:Fallback>
      </mc:AlternateContent>
    </w:r>
    <w:r>
      <w:rPr>
        <w:rFonts w:hint="eastAsia"/>
        <w:lang w:eastAsia="zh-CN"/>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B095A3">
    <w:pPr>
      <w:pStyle w:val="5"/>
      <w:ind w:left="0" w:leftChars="0" w:firstLine="0" w:firstLineChars="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9A92544"/>
    <w:multiLevelType w:val="singleLevel"/>
    <w:tmpl w:val="09A92544"/>
    <w:lvl w:ilvl="0" w:tentative="0">
      <w:start w:val="1"/>
      <w:numFmt w:val="decimal"/>
      <w:suff w:val="space"/>
      <w:lvlText w:val="%1."/>
      <w:lvlJc w:val="left"/>
    </w:lvl>
  </w:abstractNum>
  <w:abstractNum w:abstractNumId="1">
    <w:nsid w:val="0A96F99A"/>
    <w:multiLevelType w:val="singleLevel"/>
    <w:tmpl w:val="0A96F99A"/>
    <w:lvl w:ilvl="0" w:tentative="0">
      <w:start w:val="1"/>
      <w:numFmt w:val="chineseCounting"/>
      <w:suff w:val="space"/>
      <w:lvlText w:val="第%1条"/>
      <w:lvlJc w:val="left"/>
      <w:rPr>
        <w:rFonts w:hint="eastAsia"/>
        <w:b/>
        <w:bCs/>
      </w:rPr>
    </w:lvl>
  </w:abstractNum>
  <w:abstractNum w:abstractNumId="2">
    <w:nsid w:val="0CEA1D03"/>
    <w:multiLevelType w:val="multilevel"/>
    <w:tmpl w:val="0CEA1D03"/>
    <w:lvl w:ilvl="0" w:tentative="0">
      <w:start w:val="1"/>
      <w:numFmt w:val="japaneseCounting"/>
      <w:lvlText w:val="第%1章"/>
      <w:lvlJc w:val="left"/>
      <w:pPr>
        <w:ind w:left="795" w:hanging="795"/>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3553613"/>
    <w:rsid w:val="058C7E64"/>
    <w:rsid w:val="128455B9"/>
    <w:rsid w:val="13553613"/>
    <w:rsid w:val="148212C0"/>
    <w:rsid w:val="15B91E83"/>
    <w:rsid w:val="20C54978"/>
    <w:rsid w:val="26D936A0"/>
    <w:rsid w:val="278F116E"/>
    <w:rsid w:val="36125C0F"/>
    <w:rsid w:val="378955B8"/>
    <w:rsid w:val="39211AF2"/>
    <w:rsid w:val="39485384"/>
    <w:rsid w:val="3B166690"/>
    <w:rsid w:val="3DA47C31"/>
    <w:rsid w:val="5918128F"/>
    <w:rsid w:val="5FC77CBF"/>
    <w:rsid w:val="6109328C"/>
    <w:rsid w:val="69305F54"/>
    <w:rsid w:val="6E6069CF"/>
    <w:rsid w:val="74E0715F"/>
    <w:rsid w:val="75F22BC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883" w:firstLineChars="200"/>
      <w:jc w:val="both"/>
    </w:pPr>
    <w:rPr>
      <w:rFonts w:ascii="仿宋_GB2312" w:hAnsi="仿宋_GB2312" w:eastAsia="仿宋_GB2312" w:cs="仿宋_GB2312"/>
      <w:kern w:val="2"/>
      <w:sz w:val="32"/>
      <w:szCs w:val="32"/>
      <w:lang w:val="en-US" w:eastAsia="zh-CN" w:bidi="ar-SA"/>
    </w:rPr>
  </w:style>
  <w:style w:type="paragraph" w:styleId="2">
    <w:name w:val="heading 1"/>
    <w:basedOn w:val="1"/>
    <w:next w:val="1"/>
    <w:qFormat/>
    <w:uiPriority w:val="0"/>
    <w:pPr>
      <w:keepNext/>
      <w:keepLines/>
      <w:spacing w:beforeLines="0" w:beforeAutospacing="0" w:afterLines="0" w:afterAutospacing="0" w:line="560" w:lineRule="exact"/>
      <w:ind w:firstLine="0" w:firstLineChars="0"/>
      <w:jc w:val="center"/>
      <w:outlineLvl w:val="0"/>
    </w:pPr>
    <w:rPr>
      <w:rFonts w:eastAsia="方正小标宋简体" w:cs="方正小标宋简体"/>
      <w:kern w:val="44"/>
      <w:sz w:val="44"/>
      <w:szCs w:val="44"/>
    </w:rPr>
  </w:style>
  <w:style w:type="paragraph" w:styleId="3">
    <w:name w:val="heading 2"/>
    <w:basedOn w:val="1"/>
    <w:next w:val="1"/>
    <w:unhideWhenUsed/>
    <w:qFormat/>
    <w:uiPriority w:val="0"/>
    <w:pPr>
      <w:keepNext/>
      <w:keepLines/>
      <w:spacing w:before="100" w:beforeLines="100" w:beforeAutospacing="0" w:afterLines="0" w:afterAutospacing="0" w:line="560" w:lineRule="exact"/>
      <w:ind w:firstLine="0" w:firstLineChars="0"/>
      <w:jc w:val="center"/>
      <w:outlineLvl w:val="1"/>
    </w:pPr>
    <w:rPr>
      <w:rFonts w:ascii="Arial" w:hAnsi="Arial" w:eastAsia="黑体"/>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ind w:firstLine="0" w:firstLineChars="0"/>
      <w:jc w:val="left"/>
    </w:pPr>
    <w:rPr>
      <w:rFonts w:eastAsia="宋体"/>
      <w:sz w:val="24"/>
      <w:szCs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8">
    <w:name w:val="Table Text"/>
    <w:basedOn w:val="1"/>
    <w:semiHidden/>
    <w:qFormat/>
    <w:uiPriority w:val="0"/>
    <w:rPr>
      <w:rFonts w:ascii="宋体" w:hAnsi="宋体" w:eastAsia="宋体" w:cs="宋体"/>
      <w:sz w:val="40"/>
      <w:szCs w:val="40"/>
      <w:lang w:val="en-US" w:eastAsia="en-US" w:bidi="ar-SA"/>
    </w:rPr>
  </w:style>
  <w:style w:type="table" w:customStyle="1" w:styleId="9">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中国华电集团公司</Company>
  <Pages>7</Pages>
  <Words>3051</Words>
  <Characters>3107</Characters>
  <Lines>0</Lines>
  <Paragraphs>0</Paragraphs>
  <TotalTime>18</TotalTime>
  <ScaleCrop>false</ScaleCrop>
  <LinksUpToDate>false</LinksUpToDate>
  <CharactersWithSpaces>3261</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2025-06-13T10:16:00Z</dcterms:created>
  <dc:creator>王海龙</dc:creator>
  <cp:lastModifiedBy>李鹏程</cp:lastModifiedBy>
  <cp:lastPrinted>2025-06-17T14:16:00Z</cp:lastPrinted>
  <dcterms:modified xsi:type="dcterms:W3CDTF">2025-06-23T09:11:16Z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564EDF60EC33472886DAAD86F31401E2_13</vt:lpwstr>
  </property>
  <property fmtid="{D5CDD505-2E9C-101B-9397-08002B2CF9AE}" pid="4" name="KSOTemplateDocerSaveRecord">
    <vt:lpwstr>eyJoZGlkIjoiODY1NzFiNWZlY2Q1YmIyNmIxNGJjNmM4Y2Q4ODFhOTgiLCJ1c2VySWQiOiIyNTE3NDIzNDgifQ==</vt:lpwstr>
  </property>
</Properties>
</file>