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44"/>
          <w:szCs w:val="44"/>
          <w:lang w:eastAsia="zh-CN"/>
        </w:rPr>
      </w:pPr>
      <w:r>
        <w:rPr>
          <w:rFonts w:hint="eastAsia" w:asciiTheme="minorEastAsia" w:hAnsiTheme="minorEastAsia" w:eastAsiaTheme="minorEastAsia" w:cstheme="minorEastAsia"/>
          <w:b/>
          <w:bCs/>
          <w:sz w:val="44"/>
          <w:szCs w:val="44"/>
          <w:lang w:val="en-US" w:eastAsia="zh-CN"/>
        </w:rPr>
        <w:t>华电阜康热电有限公司</w:t>
      </w:r>
      <w:r>
        <w:rPr>
          <w:rFonts w:hint="eastAsia" w:asciiTheme="minorEastAsia" w:hAnsiTheme="minorEastAsia" w:eastAsiaTheme="minorEastAsia" w:cstheme="minorEastAsia"/>
          <w:b/>
          <w:bCs/>
          <w:sz w:val="44"/>
          <w:szCs w:val="44"/>
          <w:lang w:eastAsia="zh-CN"/>
        </w:rPr>
        <w:t>安全责任协议书</w:t>
      </w:r>
    </w:p>
    <w:p>
      <w:pPr>
        <w:spacing w:line="560" w:lineRule="exact"/>
      </w:pPr>
    </w:p>
    <w:p>
      <w:pPr>
        <w:spacing w:line="560" w:lineRule="exact"/>
        <w:rPr>
          <w:rFonts w:hint="default" w:ascii="仿宋_GB2312" w:hAnsi="仿宋_GB2312" w:eastAsia="仿宋_GB2312" w:cs="仿宋_GB2312"/>
          <w:b/>
          <w:bCs/>
          <w:sz w:val="32"/>
          <w:szCs w:val="30"/>
          <w:lang w:val="en-US"/>
        </w:rPr>
      </w:pPr>
      <w:r>
        <w:rPr>
          <w:rFonts w:hint="eastAsia" w:ascii="仿宋_GB2312" w:hAnsi="仿宋_GB2312" w:eastAsia="仿宋_GB2312" w:cs="仿宋_GB2312"/>
          <w:b/>
          <w:bCs/>
          <w:sz w:val="32"/>
          <w:szCs w:val="30"/>
        </w:rPr>
        <w:t>甲方：</w:t>
      </w:r>
      <w:r>
        <w:rPr>
          <w:rFonts w:hint="eastAsia" w:ascii="仿宋_GB2312" w:hAnsi="仿宋_GB2312" w:eastAsia="仿宋_GB2312" w:cs="仿宋_GB2312"/>
          <w:b/>
          <w:bCs/>
          <w:sz w:val="32"/>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rPr>
          <w:rFonts w:hint="eastAsia" w:ascii="仿宋_GB2312" w:hAnsi="仿宋_GB2312" w:eastAsia="仿宋_GB2312" w:cs="仿宋_GB2312"/>
          <w:b/>
          <w:bCs/>
          <w:sz w:val="32"/>
          <w:szCs w:val="30"/>
          <w:lang w:eastAsia="zh-CN"/>
        </w:rPr>
      </w:pPr>
      <w:r>
        <w:rPr>
          <w:rFonts w:hint="eastAsia" w:ascii="仿宋_GB2312" w:hAnsi="仿宋_GB2312" w:eastAsia="仿宋_GB2312" w:cs="仿宋_GB2312"/>
          <w:b/>
          <w:bCs/>
          <w:sz w:val="32"/>
          <w:szCs w:val="30"/>
        </w:rPr>
        <w:t>乙方：</w:t>
      </w:r>
      <w:r>
        <w:rPr>
          <w:rFonts w:hint="eastAsia" w:ascii="仿宋_GB2312" w:hAnsi="仿宋_GB2312" w:eastAsia="仿宋_GB2312" w:cs="仿宋_GB2312"/>
          <w:b/>
          <w:bCs/>
          <w:sz w:val="32"/>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为加强</w:t>
      </w:r>
      <w:r>
        <w:rPr>
          <w:rFonts w:hint="eastAsia" w:ascii="仿宋_GB2312" w:hAnsi="仿宋_GB2312" w:eastAsia="仿宋_GB2312" w:cs="仿宋_GB2312"/>
          <w:sz w:val="32"/>
          <w:szCs w:val="30"/>
          <w:lang w:val="en-US" w:eastAsia="zh-CN"/>
        </w:rPr>
        <w:t>供应商及</w:t>
      </w:r>
      <w:r>
        <w:rPr>
          <w:rFonts w:hint="eastAsia" w:ascii="仿宋_GB2312" w:hAnsi="仿宋_GB2312" w:eastAsia="仿宋_GB2312" w:cs="仿宋_GB2312"/>
          <w:sz w:val="32"/>
          <w:szCs w:val="30"/>
        </w:rPr>
        <w:t>承运车辆的安全管理，明确甲、乙双方的安全责任，做到各负其责，确保承运过程中的人身安全和设备安全，经甲、乙双方平等协商确定，特签定安全责任协议书，双方必须共同遵守：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b w:val="0"/>
          <w:bCs/>
          <w:sz w:val="32"/>
          <w:szCs w:val="30"/>
        </w:rPr>
      </w:pPr>
      <w:r>
        <w:rPr>
          <w:rFonts w:hint="eastAsia" w:ascii="黑体" w:hAnsi="黑体" w:eastAsia="黑体" w:cs="黑体"/>
          <w:b w:val="0"/>
          <w:bCs/>
          <w:sz w:val="32"/>
          <w:szCs w:val="30"/>
        </w:rPr>
        <w:t>一、安全目标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1、不发生轻伤及以上人身伤害事故；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2、不发生设备损坏事故；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3、不发生环境污染事故；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4、杜绝违章指挥、违章作业情况。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b w:val="0"/>
          <w:bCs/>
          <w:sz w:val="32"/>
          <w:szCs w:val="30"/>
        </w:rPr>
      </w:pPr>
      <w:r>
        <w:rPr>
          <w:rFonts w:hint="eastAsia" w:ascii="黑体" w:hAnsi="黑体" w:eastAsia="黑体" w:cs="黑体"/>
          <w:b w:val="0"/>
          <w:bCs/>
          <w:sz w:val="32"/>
          <w:szCs w:val="30"/>
        </w:rPr>
        <w:t>二、根据《中华人民共和国安全生产法》要求，甲方必须进行安全资质审查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1、</w:t>
      </w:r>
      <w:r>
        <w:rPr>
          <w:rFonts w:hint="eastAsia" w:ascii="仿宋_GB2312" w:hAnsi="仿宋_GB2312" w:eastAsia="仿宋_GB2312" w:cs="仿宋_GB2312"/>
          <w:sz w:val="32"/>
          <w:szCs w:val="30"/>
          <w:lang w:eastAsia="zh-CN"/>
        </w:rPr>
        <w:t>供应商或</w:t>
      </w:r>
      <w:r>
        <w:rPr>
          <w:rFonts w:hint="eastAsia" w:ascii="仿宋_GB2312" w:hAnsi="仿宋_GB2312" w:eastAsia="仿宋_GB2312" w:cs="仿宋_GB2312"/>
          <w:sz w:val="32"/>
          <w:szCs w:val="30"/>
        </w:rPr>
        <w:t>承运商的营业执照和资质证书，法人代表资格证书。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2、甲方要求提供的其他资料。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b w:val="0"/>
          <w:bCs/>
          <w:sz w:val="32"/>
          <w:szCs w:val="30"/>
        </w:rPr>
      </w:pPr>
      <w:r>
        <w:rPr>
          <w:rFonts w:hint="eastAsia" w:ascii="黑体" w:hAnsi="黑体" w:eastAsia="黑体" w:cs="黑体"/>
          <w:b w:val="0"/>
          <w:bCs/>
          <w:sz w:val="32"/>
          <w:szCs w:val="30"/>
          <w:lang w:eastAsia="zh-CN"/>
        </w:rPr>
        <w:t>三</w:t>
      </w:r>
      <w:r>
        <w:rPr>
          <w:rFonts w:hint="eastAsia" w:ascii="黑体" w:hAnsi="黑体" w:eastAsia="黑体" w:cs="黑体"/>
          <w:b w:val="0"/>
          <w:bCs/>
          <w:sz w:val="32"/>
          <w:szCs w:val="30"/>
        </w:rPr>
        <w:t>、甲方安全责任</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1、负责对乙方的资质进行审查。</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sz w:val="32"/>
          <w:szCs w:val="30"/>
          <w:lang w:val="en-US" w:eastAsia="zh-CN"/>
        </w:rPr>
      </w:pPr>
      <w:r>
        <w:rPr>
          <w:rFonts w:hint="eastAsia" w:ascii="仿宋_GB2312" w:hAnsi="仿宋_GB2312" w:eastAsia="仿宋_GB2312" w:cs="仿宋_GB2312"/>
          <w:sz w:val="32"/>
          <w:szCs w:val="30"/>
        </w:rPr>
        <w:t>2、甲方</w:t>
      </w:r>
      <w:r>
        <w:rPr>
          <w:rFonts w:hint="eastAsia" w:ascii="仿宋_GB2312" w:hAnsi="仿宋_GB2312" w:eastAsia="仿宋_GB2312" w:cs="仿宋_GB2312"/>
          <w:sz w:val="32"/>
          <w:szCs w:val="30"/>
          <w:lang w:val="en-US" w:eastAsia="zh-CN"/>
        </w:rPr>
        <w:t>对</w:t>
      </w:r>
      <w:r>
        <w:rPr>
          <w:rFonts w:hint="eastAsia" w:ascii="仿宋_GB2312" w:hAnsi="仿宋_GB2312" w:eastAsia="仿宋_GB2312" w:cs="仿宋_GB2312"/>
          <w:sz w:val="32"/>
          <w:szCs w:val="30"/>
        </w:rPr>
        <w:t>乙方</w:t>
      </w:r>
      <w:r>
        <w:rPr>
          <w:rFonts w:hint="eastAsia" w:ascii="仿宋_GB2312" w:hAnsi="仿宋_GB2312" w:eastAsia="仿宋_GB2312" w:cs="仿宋_GB2312"/>
          <w:sz w:val="32"/>
          <w:szCs w:val="30"/>
          <w:lang w:val="en-US" w:eastAsia="zh-CN"/>
        </w:rPr>
        <w:t>进行安全告知并经安规考试合格后方可入厂。</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3、提供甲方安全管理方面的规章制度，并对乙方进行必要的安全培训。</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4、乙方承运人员在厂区内发生违章作业时，甲方有权制止，直至停止乙方的协议。</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5、在保证安全的前提下，甲方应尽量向乙方提供工作方便。</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仿宋_GB2312" w:hAnsi="仿宋_GB2312" w:eastAsia="仿宋_GB2312" w:cs="仿宋_GB2312"/>
          <w:sz w:val="32"/>
          <w:szCs w:val="30"/>
          <w:lang w:val="en-US" w:eastAsia="zh-CN"/>
        </w:rPr>
      </w:pPr>
      <w:r>
        <w:rPr>
          <w:rFonts w:hint="eastAsia" w:ascii="仿宋_GB2312" w:hAnsi="仿宋_GB2312" w:eastAsia="仿宋_GB2312" w:cs="仿宋_GB2312"/>
          <w:sz w:val="32"/>
          <w:szCs w:val="30"/>
          <w:lang w:val="en-US" w:eastAsia="zh-CN"/>
        </w:rPr>
        <w:t>6、乙方进入厂区无条件服从甲方管理，与现场工作人员产生分歧应通过正常渠道解决，不能影响现场正常工作或安全事件发生。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b w:val="0"/>
          <w:bCs/>
          <w:sz w:val="32"/>
          <w:szCs w:val="30"/>
        </w:rPr>
      </w:pPr>
      <w:r>
        <w:rPr>
          <w:rFonts w:hint="eastAsia" w:ascii="黑体" w:hAnsi="黑体" w:eastAsia="黑体" w:cs="黑体"/>
          <w:b w:val="0"/>
          <w:bCs/>
          <w:sz w:val="32"/>
          <w:szCs w:val="30"/>
        </w:rPr>
        <w:t>四、乙方安全责任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1、乙方是承运工作安全第一责任者，应全面负责本</w:t>
      </w:r>
      <w:r>
        <w:rPr>
          <w:rFonts w:hint="eastAsia" w:ascii="仿宋_GB2312" w:hAnsi="仿宋_GB2312" w:eastAsia="仿宋_GB2312" w:cs="仿宋_GB2312"/>
          <w:sz w:val="32"/>
          <w:szCs w:val="30"/>
          <w:lang w:eastAsia="zh-CN"/>
        </w:rPr>
        <w:t>合同</w:t>
      </w:r>
      <w:r>
        <w:rPr>
          <w:rFonts w:hint="eastAsia" w:ascii="仿宋_GB2312" w:hAnsi="仿宋_GB2312" w:eastAsia="仿宋_GB2312" w:cs="仿宋_GB2312"/>
          <w:sz w:val="32"/>
          <w:szCs w:val="30"/>
        </w:rPr>
        <w:t>的安全管理工作，切实履行安全职责。</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2、乙方必须建立安全监督机制，并配备专（兼）职安全监督人员，认真开展安全监督工作，并随时和甲方互通情况。对承运人员要进行安全技术交底，每月对承运人集中进行一次安全教育，</w:t>
      </w:r>
      <w:r>
        <w:rPr>
          <w:rFonts w:hint="eastAsia" w:ascii="仿宋_GB2312" w:hAnsi="仿宋_GB2312" w:eastAsia="仿宋_GB2312" w:cs="仿宋_GB2312"/>
          <w:sz w:val="32"/>
          <w:szCs w:val="30"/>
          <w:highlight w:val="none"/>
        </w:rPr>
        <w:t>学习</w:t>
      </w:r>
      <w:r>
        <w:rPr>
          <w:rFonts w:hint="eastAsia" w:ascii="仿宋_GB2312" w:hAnsi="仿宋_GB2312" w:eastAsia="仿宋_GB2312" w:cs="仿宋_GB2312"/>
          <w:sz w:val="32"/>
          <w:szCs w:val="30"/>
          <w:highlight w:val="none"/>
          <w:lang w:val="en-US" w:eastAsia="zh-CN"/>
        </w:rPr>
        <w:t>安全生产十五条禁令、</w:t>
      </w:r>
      <w:r>
        <w:rPr>
          <w:rFonts w:hint="eastAsia" w:ascii="仿宋_GB2312" w:hAnsi="仿宋_GB2312" w:eastAsia="仿宋_GB2312" w:cs="仿宋_GB2312"/>
          <w:sz w:val="32"/>
          <w:szCs w:val="30"/>
          <w:highlight w:val="none"/>
        </w:rPr>
        <w:t>煤场车辆安全管理规定及公司的安全</w:t>
      </w:r>
      <w:r>
        <w:rPr>
          <w:rFonts w:hint="eastAsia" w:ascii="仿宋_GB2312" w:hAnsi="仿宋_GB2312" w:eastAsia="仿宋_GB2312" w:cs="仿宋_GB2312"/>
          <w:sz w:val="32"/>
          <w:szCs w:val="30"/>
        </w:rPr>
        <w:t>相关安全规章制度。要求熟悉现场运煤道路、禁行区域、作业时间、作业地点，对驾驶员进行安全交底和考试。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3、乙方对所使用的人员安全全权负责。对其管理的司机要求身体健康，具有3年以上的驾龄。保证不使用未成年工和没有资质的人员进行作业。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4、运输车辆必须具备交通部门的各项手续并办理了法律法规规定的各种相关保险手续，车辆性能良好，乙方对其安全性能负责。每次工作前应对车辆进行安全检查，确保行驶安全。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5、在现场工作中，必须严格执行甲方安全、文明生产（施工）规定的有关部分。甲方对乙方提出的</w:t>
      </w:r>
      <w:r>
        <w:rPr>
          <w:rFonts w:hint="eastAsia" w:ascii="仿宋_GB2312" w:hAnsi="仿宋_GB2312" w:eastAsia="仿宋_GB2312" w:cs="仿宋_GB2312"/>
          <w:sz w:val="32"/>
          <w:szCs w:val="30"/>
          <w:lang w:eastAsia="zh-CN"/>
        </w:rPr>
        <w:t>安全管理</w:t>
      </w:r>
      <w:r>
        <w:rPr>
          <w:rFonts w:hint="eastAsia" w:ascii="仿宋_GB2312" w:hAnsi="仿宋_GB2312" w:eastAsia="仿宋_GB2312" w:cs="仿宋_GB2312"/>
          <w:sz w:val="32"/>
          <w:szCs w:val="30"/>
        </w:rPr>
        <w:t>意见必须及时整改，并接受甲方安全监督相关部门的监督和指导。</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6、工作中人身安全受到威胁时，乙方有责任立即处理并同时报告甲方主管部门。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7、乙方运输车辆进入厂区后，违反我公司安全管理规定，造成的人身伤害、设备损坏等事件，其一切责任及经济损失全部由乙方承担。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b w:val="0"/>
          <w:bCs/>
          <w:sz w:val="32"/>
          <w:szCs w:val="30"/>
        </w:rPr>
      </w:pPr>
      <w:r>
        <w:rPr>
          <w:rFonts w:hint="eastAsia" w:ascii="黑体" w:hAnsi="黑体" w:eastAsia="黑体" w:cs="黑体"/>
          <w:b w:val="0"/>
          <w:bCs/>
          <w:sz w:val="32"/>
          <w:szCs w:val="30"/>
        </w:rPr>
        <w:t>五、安全注意事项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1、所有进入煤场的车辆必须保证灯光、倒车蜂鸣器、举升报警器齐全有效</w:t>
      </w:r>
      <w:r>
        <w:rPr>
          <w:rFonts w:hint="eastAsia" w:ascii="仿宋_GB2312" w:hAnsi="仿宋_GB2312" w:eastAsia="仿宋_GB2312" w:cs="仿宋_GB2312"/>
          <w:sz w:val="32"/>
          <w:szCs w:val="30"/>
          <w:lang w:eastAsia="zh-CN"/>
        </w:rPr>
        <w:t>、</w:t>
      </w:r>
      <w:r>
        <w:rPr>
          <w:rFonts w:hint="eastAsia" w:ascii="仿宋_GB2312" w:hAnsi="仿宋_GB2312" w:eastAsia="仿宋_GB2312" w:cs="仿宋_GB2312"/>
          <w:sz w:val="32"/>
          <w:szCs w:val="30"/>
          <w:lang w:val="en-US" w:eastAsia="zh-CN"/>
        </w:rPr>
        <w:t>穿反光马甲</w:t>
      </w:r>
      <w:r>
        <w:rPr>
          <w:rFonts w:hint="eastAsia" w:ascii="仿宋_GB2312" w:hAnsi="仿宋_GB2312" w:eastAsia="仿宋_GB2312" w:cs="仿宋_GB2312"/>
          <w:sz w:val="32"/>
          <w:szCs w:val="30"/>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2、停车线外取篷布时防止坠落，卸煤时严禁加队。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3、进出、地磅按程序过磅。进出煤场注意观察路况、标志标识牌及建筑物，必须缓慢行驶，确保煤场设施安全。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4、驾驶员必须按工作人员指定的地点卸煤。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5、驾驶员卸煤时如遇推煤机推煤应主动避让或耐心等候，推煤结束后，方准卸煤。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6、卸煤时要确保车辆平稳，防止侧翻。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7、卸煤结束后确保车厢完全放下后才能驶离煤场，严禁在落车厢的同时行驶车辆。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 xml:space="preserve">8、车辆在煤场发生故障必须尽快将故障车辆拖离煤场。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9、驾驶员必须听从采样、地磅、煤场等管理人员的指挥，服从管理，确保煤场设备及车辆安全。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10、在甲方辖区车道行驶的运煤车辆，以空车让重车原则行驶，进入煤场、煤堆的车辆，以重车让空车原则行驶。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11、严禁司机酒后作业。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12、严禁司机等人员在工作现场吸烟。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13、严禁司机等人员连续超负荷作业。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14、严禁司机误动、误碰厂区内的所有设备。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15、严禁车辆超越指定的路线行驶。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16、严禁使用消防水设施（火灾除外）。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17、车辆在指定地点摘取篷布，并注意煤块掉落伤人。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18、进入煤场卸煤必须听从煤场指挥人员指挥。无煤场指挥人员指挥不得卸煤。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19、车辆承运发电燃煤期间不得随意更改车型、车号。</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20、运煤车辆在煤场卸煤中，因本身原因，如：车辆存在问题、操作不当造成事故，必须对承运人进行教育和处罚。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21、进入甲方厂区负责车道后，车辆严禁夹队，行驶速度不得超过每小时1</w:t>
      </w:r>
      <w:r>
        <w:rPr>
          <w:rFonts w:hint="eastAsia" w:ascii="仿宋_GB2312" w:hAnsi="仿宋_GB2312" w:eastAsia="仿宋_GB2312" w:cs="仿宋_GB2312"/>
          <w:sz w:val="32"/>
          <w:szCs w:val="30"/>
          <w:lang w:val="en-US" w:eastAsia="zh-CN"/>
        </w:rPr>
        <w:t>5</w:t>
      </w:r>
      <w:r>
        <w:rPr>
          <w:rFonts w:hint="eastAsia" w:ascii="仿宋_GB2312" w:hAnsi="仿宋_GB2312" w:eastAsia="仿宋_GB2312" w:cs="仿宋_GB2312"/>
          <w:sz w:val="32"/>
          <w:szCs w:val="30"/>
        </w:rPr>
        <w:t>公里。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22、所有车辆均不准载人进入煤场，搭乘人员一律在进厂大门口下车。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23、在厂区内发生纠纷问题应通过有关部门协调解决，严禁在厂区内争吵、打架影响工作。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24、汽车排汽管头部不能朝下，如朝下的应改为朝左、右或朝后。</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25、乙方或雇佣人员在承运工作中必须履行以上安全注意事项，服从甲方的指挥，如乙方违章而发生事故时，乙方应承担全部责任。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26、承运人员必须按照指定的线路行驶，不得超越规定以外的线路。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0"/>
        </w:rPr>
      </w:pPr>
      <w:r>
        <w:rPr>
          <w:rFonts w:hint="eastAsia" w:ascii="仿宋_GB2312" w:hAnsi="仿宋_GB2312" w:eastAsia="仿宋_GB2312" w:cs="仿宋_GB2312"/>
          <w:sz w:val="32"/>
          <w:szCs w:val="30"/>
        </w:rPr>
        <w:t>27、运输车辆驶入厂区内驾驶员（正副驾驶员）必须使用合格的安全帽，车辆进入厂区副驾驶位置不许坐人，检查和维修车辆必须在厂区外进行。（无法行走除外，但要做好安全措施）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b w:val="0"/>
          <w:bCs/>
          <w:sz w:val="32"/>
          <w:szCs w:val="30"/>
        </w:rPr>
      </w:pPr>
      <w:r>
        <w:rPr>
          <w:rFonts w:hint="eastAsia" w:ascii="黑体" w:hAnsi="黑体" w:eastAsia="黑体" w:cs="黑体"/>
          <w:b w:val="0"/>
          <w:bCs/>
          <w:sz w:val="32"/>
          <w:szCs w:val="30"/>
        </w:rPr>
        <w:t>六、如驾驶员违反第五项规定，甲方将</w:t>
      </w:r>
      <w:r>
        <w:rPr>
          <w:rFonts w:hint="eastAsia" w:ascii="黑体" w:hAnsi="黑体" w:eastAsia="黑体" w:cs="黑体"/>
          <w:b w:val="0"/>
          <w:bCs/>
          <w:sz w:val="32"/>
          <w:szCs w:val="30"/>
          <w:lang w:eastAsia="zh-CN"/>
        </w:rPr>
        <w:t>按照燃煤管理标准进行处理</w:t>
      </w:r>
      <w:r>
        <w:rPr>
          <w:rFonts w:hint="eastAsia" w:ascii="黑体" w:hAnsi="黑体" w:eastAsia="黑体" w:cs="黑体"/>
          <w:b w:val="0"/>
          <w:bCs/>
          <w:sz w:val="32"/>
          <w:szCs w:val="30"/>
        </w:rPr>
        <w:t>，未尽事宜参照甲方公司的有关安全管理规定处理。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b w:val="0"/>
          <w:bCs/>
          <w:sz w:val="32"/>
          <w:szCs w:val="30"/>
        </w:rPr>
      </w:pPr>
      <w:r>
        <w:rPr>
          <w:rFonts w:hint="eastAsia" w:ascii="黑体" w:hAnsi="黑体" w:eastAsia="黑体" w:cs="黑体"/>
          <w:b w:val="0"/>
          <w:bCs/>
          <w:sz w:val="32"/>
          <w:szCs w:val="30"/>
        </w:rPr>
        <w:t>七、本协议安全责任未尽事宜，由双方协商解决。</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b w:val="0"/>
          <w:bCs/>
          <w:sz w:val="32"/>
          <w:szCs w:val="30"/>
        </w:rPr>
      </w:pPr>
      <w:r>
        <w:rPr>
          <w:rFonts w:hint="eastAsia" w:ascii="黑体" w:hAnsi="黑体" w:eastAsia="黑体" w:cs="黑体"/>
          <w:b w:val="0"/>
          <w:bCs/>
          <w:sz w:val="32"/>
          <w:szCs w:val="30"/>
        </w:rPr>
        <w:t>八、本协议自双方签字起执行。（本协议自双方签字盖章之日起生效）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b w:val="0"/>
          <w:bCs/>
          <w:sz w:val="32"/>
          <w:szCs w:val="30"/>
        </w:rPr>
      </w:pPr>
      <w:r>
        <w:rPr>
          <w:rFonts w:hint="eastAsia" w:ascii="黑体" w:hAnsi="黑体" w:eastAsia="黑体" w:cs="黑体"/>
          <w:b w:val="0"/>
          <w:bCs/>
          <w:sz w:val="32"/>
          <w:szCs w:val="30"/>
        </w:rPr>
        <w:t>九、本协议正式文本</w:t>
      </w:r>
      <w:r>
        <w:rPr>
          <w:rFonts w:hint="eastAsia" w:ascii="黑体" w:hAnsi="黑体" w:eastAsia="黑体" w:cs="黑体"/>
          <w:b w:val="0"/>
          <w:bCs/>
          <w:sz w:val="32"/>
          <w:szCs w:val="28"/>
        </w:rPr>
        <w:t>一式</w:t>
      </w:r>
      <w:r>
        <w:rPr>
          <w:rFonts w:hint="eastAsia" w:ascii="黑体" w:hAnsi="黑体" w:eastAsia="黑体" w:cs="黑体"/>
          <w:b w:val="0"/>
          <w:bCs/>
          <w:sz w:val="32"/>
          <w:szCs w:val="28"/>
          <w:lang w:val="en-US" w:eastAsia="zh-CN"/>
        </w:rPr>
        <w:t>2</w:t>
      </w:r>
      <w:r>
        <w:rPr>
          <w:rFonts w:hint="eastAsia" w:ascii="黑体" w:hAnsi="黑体" w:eastAsia="黑体" w:cs="黑体"/>
          <w:b w:val="0"/>
          <w:bCs/>
          <w:sz w:val="32"/>
          <w:szCs w:val="28"/>
        </w:rPr>
        <w:t>份，甲方持</w:t>
      </w:r>
      <w:r>
        <w:rPr>
          <w:rFonts w:hint="eastAsia" w:ascii="黑体" w:hAnsi="黑体" w:eastAsia="黑体" w:cs="黑体"/>
          <w:b w:val="0"/>
          <w:bCs/>
          <w:sz w:val="32"/>
          <w:szCs w:val="28"/>
          <w:lang w:val="en-US" w:eastAsia="zh-CN"/>
        </w:rPr>
        <w:t>1</w:t>
      </w:r>
      <w:r>
        <w:rPr>
          <w:rFonts w:hint="eastAsia" w:ascii="黑体" w:hAnsi="黑体" w:eastAsia="黑体" w:cs="黑体"/>
          <w:b w:val="0"/>
          <w:bCs/>
          <w:sz w:val="32"/>
          <w:szCs w:val="28"/>
        </w:rPr>
        <w:t>份,乙方持</w:t>
      </w:r>
      <w:r>
        <w:rPr>
          <w:rFonts w:hint="eastAsia" w:ascii="黑体" w:hAnsi="黑体" w:eastAsia="黑体" w:cs="黑体"/>
          <w:b w:val="0"/>
          <w:bCs/>
          <w:sz w:val="32"/>
          <w:szCs w:val="28"/>
          <w:lang w:val="en-US" w:eastAsia="zh-CN"/>
        </w:rPr>
        <w:t>1</w:t>
      </w:r>
      <w:r>
        <w:rPr>
          <w:rFonts w:hint="eastAsia" w:ascii="黑体" w:hAnsi="黑体" w:eastAsia="黑体" w:cs="黑体"/>
          <w:b w:val="0"/>
          <w:bCs/>
          <w:sz w:val="32"/>
          <w:szCs w:val="28"/>
        </w:rPr>
        <w:t>份</w:t>
      </w:r>
      <w:r>
        <w:rPr>
          <w:rFonts w:hint="eastAsia" w:ascii="黑体" w:hAnsi="黑体" w:eastAsia="黑体" w:cs="黑体"/>
          <w:b w:val="0"/>
          <w:bCs/>
          <w:sz w:val="32"/>
          <w:szCs w:val="30"/>
        </w:rPr>
        <w:t>，与《煤炭买卖合同》具有同等法律效力。</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b w:val="0"/>
          <w:bCs/>
          <w:sz w:val="32"/>
          <w:szCs w:val="30"/>
          <w:highlight w:val="none"/>
          <w:lang w:eastAsia="zh-CN"/>
        </w:rPr>
      </w:pPr>
      <w:r>
        <w:rPr>
          <w:rFonts w:hint="eastAsia" w:ascii="黑体" w:hAnsi="黑体" w:eastAsia="黑体" w:cs="黑体"/>
          <w:b w:val="0"/>
          <w:bCs/>
          <w:sz w:val="32"/>
          <w:szCs w:val="30"/>
        </w:rPr>
        <w:t>十、本协议有效期：</w:t>
      </w:r>
      <w:r>
        <w:rPr>
          <w:rFonts w:hint="eastAsia" w:ascii="黑体" w:hAnsi="黑体" w:eastAsia="黑体" w:cs="黑体"/>
          <w:b w:val="0"/>
          <w:bCs/>
          <w:sz w:val="32"/>
          <w:szCs w:val="30"/>
          <w:lang w:val="en-US" w:eastAsia="zh-CN"/>
        </w:rPr>
        <w:t>合同签订之</w:t>
      </w:r>
      <w:r>
        <w:rPr>
          <w:rFonts w:hint="eastAsia" w:ascii="黑体" w:hAnsi="黑体" w:eastAsia="黑体" w:cs="黑体"/>
          <w:b w:val="0"/>
          <w:bCs/>
          <w:sz w:val="32"/>
          <w:szCs w:val="30"/>
          <w:highlight w:val="none"/>
        </w:rPr>
        <w:t>日至</w:t>
      </w:r>
      <w:r>
        <w:rPr>
          <w:rFonts w:hint="eastAsia" w:ascii="黑体" w:hAnsi="黑体" w:eastAsia="黑体" w:cs="黑体"/>
          <w:b w:val="0"/>
          <w:bCs/>
          <w:sz w:val="32"/>
          <w:szCs w:val="30"/>
          <w:highlight w:val="none"/>
          <w:lang w:val="en-US" w:eastAsia="zh-CN"/>
        </w:rPr>
        <w:t xml:space="preserve"> </w:t>
      </w:r>
      <w:r>
        <w:rPr>
          <w:rFonts w:hint="eastAsia" w:ascii="黑体" w:hAnsi="黑体" w:eastAsia="黑体" w:cs="黑体"/>
          <w:b w:val="0"/>
          <w:bCs/>
          <w:sz w:val="32"/>
          <w:szCs w:val="30"/>
          <w:highlight w:val="none"/>
        </w:rPr>
        <w:t>年</w:t>
      </w:r>
      <w:r>
        <w:rPr>
          <w:rFonts w:hint="eastAsia" w:ascii="黑体" w:hAnsi="黑体" w:eastAsia="黑体" w:cs="黑体"/>
          <w:b w:val="0"/>
          <w:bCs/>
          <w:sz w:val="32"/>
          <w:szCs w:val="30"/>
          <w:highlight w:val="none"/>
          <w:lang w:val="en-US" w:eastAsia="zh-CN"/>
        </w:rPr>
        <w:t xml:space="preserve">   </w:t>
      </w:r>
      <w:r>
        <w:rPr>
          <w:rFonts w:hint="eastAsia" w:ascii="黑体" w:hAnsi="黑体" w:eastAsia="黑体" w:cs="黑体"/>
          <w:b w:val="0"/>
          <w:bCs/>
          <w:sz w:val="32"/>
          <w:szCs w:val="30"/>
          <w:highlight w:val="none"/>
        </w:rPr>
        <w:t>月</w:t>
      </w:r>
      <w:r>
        <w:rPr>
          <w:rFonts w:hint="eastAsia" w:ascii="黑体" w:hAnsi="黑体" w:eastAsia="黑体" w:cs="黑体"/>
          <w:b w:val="0"/>
          <w:bCs/>
          <w:sz w:val="32"/>
          <w:szCs w:val="30"/>
          <w:highlight w:val="none"/>
          <w:lang w:val="en-US" w:eastAsia="zh-CN"/>
        </w:rPr>
        <w:t xml:space="preserve">   </w:t>
      </w:r>
      <w:bookmarkStart w:id="0" w:name="_GoBack"/>
      <w:bookmarkEnd w:id="0"/>
      <w:r>
        <w:rPr>
          <w:rFonts w:hint="eastAsia" w:ascii="黑体" w:hAnsi="黑体" w:eastAsia="黑体" w:cs="黑体"/>
          <w:b w:val="0"/>
          <w:bCs/>
          <w:sz w:val="32"/>
          <w:szCs w:val="30"/>
          <w:highlight w:val="none"/>
        </w:rPr>
        <w:t>日</w:t>
      </w:r>
      <w:r>
        <w:rPr>
          <w:rFonts w:hint="eastAsia" w:ascii="黑体" w:hAnsi="黑体" w:eastAsia="黑体" w:cs="黑体"/>
          <w:b w:val="0"/>
          <w:bCs/>
          <w:sz w:val="32"/>
          <w:szCs w:val="30"/>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b w:val="0"/>
          <w:bCs/>
          <w:sz w:val="32"/>
          <w:szCs w:val="30"/>
          <w:lang w:eastAsia="zh-CN"/>
        </w:rPr>
      </w:pPr>
      <w:r>
        <w:rPr>
          <w:rFonts w:hint="eastAsia" w:ascii="黑体" w:hAnsi="黑体" w:eastAsia="黑体" w:cs="黑体"/>
          <w:b w:val="0"/>
          <w:bCs/>
          <w:sz w:val="32"/>
          <w:szCs w:val="30"/>
          <w:lang w:eastAsia="zh-CN"/>
        </w:rPr>
        <w:t>十一、本协议履行期在合同履行期发生变化时与合同补充协议履行期保持一致</w:t>
      </w:r>
    </w:p>
    <w:p>
      <w:pPr>
        <w:keepNext w:val="0"/>
        <w:keepLines w:val="0"/>
        <w:pageBreakBefore w:val="0"/>
        <w:widowControl w:val="0"/>
        <w:tabs>
          <w:tab w:val="left" w:pos="3028"/>
        </w:tabs>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eastAsia="宋体"/>
          <w:lang w:eastAsia="zh-CN"/>
        </w:rPr>
      </w:pPr>
    </w:p>
    <w:p>
      <w:pPr>
        <w:tabs>
          <w:tab w:val="left" w:pos="3028"/>
        </w:tabs>
        <w:rPr>
          <w:rFonts w:hint="eastAsia" w:eastAsia="宋体"/>
          <w:lang w:eastAsia="zh-CN"/>
        </w:rPr>
      </w:pPr>
    </w:p>
    <w:p>
      <w:pPr>
        <w:tabs>
          <w:tab w:val="left" w:pos="3028"/>
        </w:tabs>
        <w:rPr>
          <w:rFonts w:hint="eastAsia" w:eastAsia="宋体"/>
          <w:lang w:eastAsia="zh-CN"/>
        </w:rPr>
      </w:pPr>
    </w:p>
    <w:p>
      <w:pPr>
        <w:spacing w:line="560" w:lineRule="exact"/>
        <w:ind w:left="5320" w:hanging="5320" w:hangingChars="19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甲</w:t>
      </w:r>
      <w:r>
        <w:rPr>
          <w:rFonts w:hint="eastAsia" w:ascii="仿宋_GB2312" w:hAnsi="仿宋_GB2312" w:eastAsia="仿宋_GB2312" w:cs="仿宋_GB2312"/>
          <w:sz w:val="28"/>
          <w:szCs w:val="28"/>
          <w:lang w:val="en-US" w:eastAsia="zh-CN"/>
        </w:rPr>
        <w:t>方：</w:t>
      </w:r>
      <w:r>
        <w:rPr>
          <w:rFonts w:hint="eastAsia" w:ascii="仿宋_GB2312" w:hAnsi="仿宋_GB2312" w:eastAsia="仿宋_GB2312" w:cs="仿宋_GB2312"/>
          <w:b w:val="0"/>
          <w:bCs w:val="0"/>
          <w:sz w:val="28"/>
          <w:szCs w:val="28"/>
          <w:lang w:val="en-US" w:eastAsia="zh-CN"/>
        </w:rPr>
        <w:t xml:space="preserve">  </w:t>
      </w:r>
      <w:r>
        <w:rPr>
          <w:rFonts w:hint="eastAsia" w:ascii="仿宋_GB2312" w:hAnsi="仿宋_GB2312" w:eastAsia="仿宋_GB2312" w:cs="仿宋_GB2312"/>
          <w:b w:val="0"/>
          <w:bCs w:val="0"/>
          <w:sz w:val="24"/>
          <w:szCs w:val="24"/>
          <w:lang w:val="en-US" w:eastAsia="zh-CN"/>
        </w:rPr>
        <w:t xml:space="preserve">                                 </w:t>
      </w:r>
      <w:r>
        <w:rPr>
          <w:rFonts w:hint="eastAsia" w:ascii="仿宋_GB2312" w:hAnsi="仿宋_GB2312" w:eastAsia="仿宋_GB2312" w:cs="仿宋_GB2312"/>
          <w:sz w:val="28"/>
          <w:szCs w:val="28"/>
          <w:lang w:val="en-US" w:eastAsia="zh-CN"/>
        </w:rPr>
        <w:t>乙方：</w:t>
      </w:r>
      <w:r>
        <w:rPr>
          <w:rFonts w:hint="eastAsia" w:ascii="仿宋_GB2312" w:hAnsi="仿宋_GB2312" w:eastAsia="仿宋_GB2312" w:cs="仿宋_GB2312"/>
          <w:b w:val="0"/>
          <w:bCs w:val="0"/>
          <w:sz w:val="28"/>
          <w:szCs w:val="28"/>
          <w:lang w:val="en-US" w:eastAsia="zh-CN"/>
        </w:rPr>
        <w:t xml:space="preserve">  </w:t>
      </w:r>
      <w:r>
        <w:rPr>
          <w:rFonts w:hint="eastAsia" w:ascii="仿宋_GB2312" w:hAnsi="仿宋_GB2312" w:eastAsia="仿宋_GB2312" w:cs="仿宋_GB2312"/>
          <w:sz w:val="28"/>
          <w:szCs w:val="28"/>
          <w:lang w:val="en-US" w:eastAsia="zh-CN"/>
        </w:rPr>
        <w:t xml:space="preserve">    </w:t>
      </w:r>
    </w:p>
    <w:p>
      <w:pPr>
        <w:widowControl/>
        <w:jc w:val="left"/>
        <w:rPr>
          <w:rFonts w:hint="eastAsia" w:ascii="仿宋_GB2312" w:hAnsi="仿宋_GB2312" w:eastAsia="仿宋_GB2312" w:cs="仿宋_GB2312"/>
          <w:sz w:val="28"/>
          <w:szCs w:val="28"/>
          <w:lang w:val="en-US" w:eastAsia="zh-CN"/>
        </w:rPr>
      </w:pPr>
    </w:p>
    <w:p>
      <w:pPr>
        <w:widowControl/>
        <w:ind w:left="5600" w:hanging="5600" w:hangingChars="200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 xml:space="preserve">单位：（章）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单位：（章）</w:t>
      </w:r>
    </w:p>
    <w:p>
      <w:pPr>
        <w:ind w:firstLine="0" w:firstLineChars="0"/>
        <w:rPr>
          <w:rFonts w:hint="eastAsia" w:ascii="仿宋_GB2312" w:hAnsi="仿宋_GB2312" w:eastAsia="仿宋_GB2312" w:cs="仿宋_GB2312"/>
          <w:sz w:val="28"/>
          <w:szCs w:val="28"/>
        </w:rPr>
      </w:pPr>
    </w:p>
    <w:p>
      <w:pPr>
        <w:ind w:firstLine="0"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买方代表：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卖方代表：</w:t>
      </w:r>
    </w:p>
    <w:p>
      <w:pPr>
        <w:ind w:firstLine="0" w:firstLineChars="0"/>
        <w:rPr>
          <w:rFonts w:hint="eastAsia" w:ascii="仿宋_GB2312" w:hAnsi="仿宋_GB2312" w:eastAsia="仿宋_GB2312" w:cs="仿宋_GB2312"/>
          <w:sz w:val="28"/>
          <w:szCs w:val="28"/>
        </w:rPr>
      </w:pPr>
    </w:p>
    <w:p>
      <w:pPr>
        <w:ind w:firstLine="0" w:firstLineChars="0"/>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签订时间：2025年   月  日</w:t>
      </w:r>
    </w:p>
    <w:sectPr>
      <w:headerReference r:id="rId3" w:type="default"/>
      <w:footerReference r:id="rId4" w:type="default"/>
      <w:pgSz w:w="11906" w:h="16838"/>
      <w:pgMar w:top="1440" w:right="1576"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j&#10;0coStwEAAFcDAAAOAAAAAAAAAAEAIAAAAB4BAABkcnMvZTJvRG9jLnhtbFBLBQYAAAAABgAGAFkB&#10;AABH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rPr>
        <w:rFonts w:hint="default" w:eastAsiaTheme="minorEastAsia"/>
        <w:lang w:val="en-US" w:eastAsia="zh-CN"/>
      </w:rPr>
    </w:pPr>
    <w:r>
      <w:rPr>
        <w:rFonts w:hint="eastAsia"/>
        <w:lang w:val="en-US" w:eastAsia="zh-CN"/>
      </w:rPr>
      <w:t xml:space="preserve">华电阜康热电有限公司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40DF"/>
    <w:rsid w:val="00027243"/>
    <w:rsid w:val="00052D92"/>
    <w:rsid w:val="001A3361"/>
    <w:rsid w:val="001A5D96"/>
    <w:rsid w:val="0025510F"/>
    <w:rsid w:val="00257796"/>
    <w:rsid w:val="00264415"/>
    <w:rsid w:val="002D4B95"/>
    <w:rsid w:val="002E6F58"/>
    <w:rsid w:val="00301B17"/>
    <w:rsid w:val="0033663D"/>
    <w:rsid w:val="00423B7D"/>
    <w:rsid w:val="004240DF"/>
    <w:rsid w:val="00480B58"/>
    <w:rsid w:val="00484437"/>
    <w:rsid w:val="00506707"/>
    <w:rsid w:val="00674085"/>
    <w:rsid w:val="006817E1"/>
    <w:rsid w:val="00785826"/>
    <w:rsid w:val="0079752B"/>
    <w:rsid w:val="007D0724"/>
    <w:rsid w:val="008737A0"/>
    <w:rsid w:val="00884FFC"/>
    <w:rsid w:val="008E1DC7"/>
    <w:rsid w:val="009237F0"/>
    <w:rsid w:val="0096337C"/>
    <w:rsid w:val="009821E0"/>
    <w:rsid w:val="00A671B3"/>
    <w:rsid w:val="00A7665D"/>
    <w:rsid w:val="00B71D2B"/>
    <w:rsid w:val="00B904E5"/>
    <w:rsid w:val="00BC5717"/>
    <w:rsid w:val="00DA08E9"/>
    <w:rsid w:val="00E60769"/>
    <w:rsid w:val="00E673A5"/>
    <w:rsid w:val="00E73E72"/>
    <w:rsid w:val="00F813EA"/>
    <w:rsid w:val="023878E1"/>
    <w:rsid w:val="02686895"/>
    <w:rsid w:val="02E21AFA"/>
    <w:rsid w:val="03A91D57"/>
    <w:rsid w:val="03B165CC"/>
    <w:rsid w:val="03EC7A2B"/>
    <w:rsid w:val="04603999"/>
    <w:rsid w:val="0612711E"/>
    <w:rsid w:val="063441B0"/>
    <w:rsid w:val="066D22B0"/>
    <w:rsid w:val="07B96178"/>
    <w:rsid w:val="08934F8E"/>
    <w:rsid w:val="0A064A7F"/>
    <w:rsid w:val="0A2F2E1D"/>
    <w:rsid w:val="0AC83366"/>
    <w:rsid w:val="0BB7318D"/>
    <w:rsid w:val="0C0B3C6A"/>
    <w:rsid w:val="0C337AA1"/>
    <w:rsid w:val="0CB334EB"/>
    <w:rsid w:val="0CC53115"/>
    <w:rsid w:val="0D637DCD"/>
    <w:rsid w:val="0E473A73"/>
    <w:rsid w:val="0EA147BB"/>
    <w:rsid w:val="0EF321E7"/>
    <w:rsid w:val="0F48644A"/>
    <w:rsid w:val="0FE64588"/>
    <w:rsid w:val="10534DF3"/>
    <w:rsid w:val="10852EEE"/>
    <w:rsid w:val="10D63DB8"/>
    <w:rsid w:val="10DE0BC9"/>
    <w:rsid w:val="11201275"/>
    <w:rsid w:val="115D475A"/>
    <w:rsid w:val="118D5A9A"/>
    <w:rsid w:val="11DB52DE"/>
    <w:rsid w:val="12581D94"/>
    <w:rsid w:val="136F70E3"/>
    <w:rsid w:val="14F40AEF"/>
    <w:rsid w:val="156E47B2"/>
    <w:rsid w:val="1591105C"/>
    <w:rsid w:val="15DE3C54"/>
    <w:rsid w:val="162C4EFA"/>
    <w:rsid w:val="167E61B2"/>
    <w:rsid w:val="16805262"/>
    <w:rsid w:val="17441588"/>
    <w:rsid w:val="175176E8"/>
    <w:rsid w:val="18292F62"/>
    <w:rsid w:val="19222030"/>
    <w:rsid w:val="1A4E3952"/>
    <w:rsid w:val="1B0A59D9"/>
    <w:rsid w:val="1B1D5BA7"/>
    <w:rsid w:val="1BAB0741"/>
    <w:rsid w:val="1BF92D5C"/>
    <w:rsid w:val="1C130AB3"/>
    <w:rsid w:val="1D926326"/>
    <w:rsid w:val="1D9D10DA"/>
    <w:rsid w:val="1EA9587E"/>
    <w:rsid w:val="1F6166E8"/>
    <w:rsid w:val="201406C6"/>
    <w:rsid w:val="20AC166A"/>
    <w:rsid w:val="2115321C"/>
    <w:rsid w:val="21D84A92"/>
    <w:rsid w:val="23723E15"/>
    <w:rsid w:val="23C9537D"/>
    <w:rsid w:val="243440E4"/>
    <w:rsid w:val="25DA0A4B"/>
    <w:rsid w:val="261E7108"/>
    <w:rsid w:val="27B46333"/>
    <w:rsid w:val="27EB0804"/>
    <w:rsid w:val="28637E93"/>
    <w:rsid w:val="292B3904"/>
    <w:rsid w:val="29AB5E77"/>
    <w:rsid w:val="29B52470"/>
    <w:rsid w:val="2A773E10"/>
    <w:rsid w:val="2B1076C7"/>
    <w:rsid w:val="2B572FCC"/>
    <w:rsid w:val="2B781D99"/>
    <w:rsid w:val="2B9463AD"/>
    <w:rsid w:val="2C802F12"/>
    <w:rsid w:val="2CAC47A2"/>
    <w:rsid w:val="2E1D1C5F"/>
    <w:rsid w:val="2EE010B0"/>
    <w:rsid w:val="2FF25898"/>
    <w:rsid w:val="30C508CB"/>
    <w:rsid w:val="311423E0"/>
    <w:rsid w:val="31445B08"/>
    <w:rsid w:val="32F82DD6"/>
    <w:rsid w:val="33067E69"/>
    <w:rsid w:val="33816355"/>
    <w:rsid w:val="33DB28FD"/>
    <w:rsid w:val="347A2305"/>
    <w:rsid w:val="35131E78"/>
    <w:rsid w:val="374650CD"/>
    <w:rsid w:val="376D4ED7"/>
    <w:rsid w:val="38362360"/>
    <w:rsid w:val="3A15641E"/>
    <w:rsid w:val="3B59275E"/>
    <w:rsid w:val="3B667CEC"/>
    <w:rsid w:val="3BB53466"/>
    <w:rsid w:val="3C76186E"/>
    <w:rsid w:val="3CC74D43"/>
    <w:rsid w:val="3D03686B"/>
    <w:rsid w:val="3D260FAA"/>
    <w:rsid w:val="3EE74129"/>
    <w:rsid w:val="3F6E69EC"/>
    <w:rsid w:val="41254E04"/>
    <w:rsid w:val="421E0877"/>
    <w:rsid w:val="42247CE8"/>
    <w:rsid w:val="42620933"/>
    <w:rsid w:val="42A8043E"/>
    <w:rsid w:val="43D44835"/>
    <w:rsid w:val="43D5320A"/>
    <w:rsid w:val="455E1968"/>
    <w:rsid w:val="45940B8D"/>
    <w:rsid w:val="45AA644F"/>
    <w:rsid w:val="481E79E2"/>
    <w:rsid w:val="482D7B1D"/>
    <w:rsid w:val="499354ED"/>
    <w:rsid w:val="499B3AD4"/>
    <w:rsid w:val="4A1D681D"/>
    <w:rsid w:val="4A306714"/>
    <w:rsid w:val="4B766E6B"/>
    <w:rsid w:val="4BA46F33"/>
    <w:rsid w:val="4C3D0D3C"/>
    <w:rsid w:val="4C564A37"/>
    <w:rsid w:val="4C8A5E62"/>
    <w:rsid w:val="4CE9163D"/>
    <w:rsid w:val="4D1D7E84"/>
    <w:rsid w:val="4D35005D"/>
    <w:rsid w:val="4DCF726A"/>
    <w:rsid w:val="4E7039FF"/>
    <w:rsid w:val="4F574DF6"/>
    <w:rsid w:val="4F5920F7"/>
    <w:rsid w:val="501520F2"/>
    <w:rsid w:val="50F94973"/>
    <w:rsid w:val="53151FDC"/>
    <w:rsid w:val="544F4D0E"/>
    <w:rsid w:val="54D63317"/>
    <w:rsid w:val="56193168"/>
    <w:rsid w:val="56A90FB9"/>
    <w:rsid w:val="570F64EB"/>
    <w:rsid w:val="571C1502"/>
    <w:rsid w:val="57342757"/>
    <w:rsid w:val="57E5547D"/>
    <w:rsid w:val="58BB64A8"/>
    <w:rsid w:val="58EF2350"/>
    <w:rsid w:val="59045005"/>
    <w:rsid w:val="593A54AC"/>
    <w:rsid w:val="5ABA021B"/>
    <w:rsid w:val="5B122E22"/>
    <w:rsid w:val="5B2A43B5"/>
    <w:rsid w:val="5B63136F"/>
    <w:rsid w:val="5B8E06A4"/>
    <w:rsid w:val="5BDF2A3E"/>
    <w:rsid w:val="5C4F3203"/>
    <w:rsid w:val="5CF372BC"/>
    <w:rsid w:val="5D274609"/>
    <w:rsid w:val="5DB836E1"/>
    <w:rsid w:val="5DC82077"/>
    <w:rsid w:val="5DD416D0"/>
    <w:rsid w:val="5E092ED0"/>
    <w:rsid w:val="5E0D3CA2"/>
    <w:rsid w:val="5EC1417A"/>
    <w:rsid w:val="5ECE5385"/>
    <w:rsid w:val="5EDE040F"/>
    <w:rsid w:val="603018D1"/>
    <w:rsid w:val="60994351"/>
    <w:rsid w:val="60C77310"/>
    <w:rsid w:val="60D96280"/>
    <w:rsid w:val="610040DB"/>
    <w:rsid w:val="62106D23"/>
    <w:rsid w:val="62561DF8"/>
    <w:rsid w:val="63095323"/>
    <w:rsid w:val="641F7F6D"/>
    <w:rsid w:val="65802133"/>
    <w:rsid w:val="65E27421"/>
    <w:rsid w:val="6685363B"/>
    <w:rsid w:val="66F85B23"/>
    <w:rsid w:val="678E0467"/>
    <w:rsid w:val="68036DCE"/>
    <w:rsid w:val="68463CEA"/>
    <w:rsid w:val="684765F5"/>
    <w:rsid w:val="686E58E5"/>
    <w:rsid w:val="688E6FD2"/>
    <w:rsid w:val="696B270B"/>
    <w:rsid w:val="69FB1846"/>
    <w:rsid w:val="6A865F90"/>
    <w:rsid w:val="6B206AD7"/>
    <w:rsid w:val="6B281F96"/>
    <w:rsid w:val="6B844ADF"/>
    <w:rsid w:val="6BA52998"/>
    <w:rsid w:val="6BF13739"/>
    <w:rsid w:val="6BF30A18"/>
    <w:rsid w:val="6C135C9A"/>
    <w:rsid w:val="6C1E6D42"/>
    <w:rsid w:val="6CC72DF9"/>
    <w:rsid w:val="6CE22C05"/>
    <w:rsid w:val="6EAE7D15"/>
    <w:rsid w:val="6F564D80"/>
    <w:rsid w:val="700B771D"/>
    <w:rsid w:val="703D5B58"/>
    <w:rsid w:val="70434208"/>
    <w:rsid w:val="71087A34"/>
    <w:rsid w:val="71B37E75"/>
    <w:rsid w:val="727901DB"/>
    <w:rsid w:val="72AA3F6C"/>
    <w:rsid w:val="741928D6"/>
    <w:rsid w:val="757E7BAF"/>
    <w:rsid w:val="767D2EA4"/>
    <w:rsid w:val="76956348"/>
    <w:rsid w:val="77104123"/>
    <w:rsid w:val="77301C6A"/>
    <w:rsid w:val="77C63C23"/>
    <w:rsid w:val="782A7C00"/>
    <w:rsid w:val="79995A2A"/>
    <w:rsid w:val="7A9B4F81"/>
    <w:rsid w:val="7ACF3891"/>
    <w:rsid w:val="7B614A37"/>
    <w:rsid w:val="7BAF7A52"/>
    <w:rsid w:val="7D834722"/>
    <w:rsid w:val="7DBF51CD"/>
    <w:rsid w:val="7E160A08"/>
    <w:rsid w:val="7EB948FA"/>
    <w:rsid w:val="7F135416"/>
    <w:rsid w:val="7F486B50"/>
    <w:rsid w:val="7F6636C8"/>
    <w:rsid w:val="7F710964"/>
    <w:rsid w:val="7FD01DB1"/>
    <w:rsid w:val="7FFC4688"/>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Plain Text"/>
    <w:basedOn w:val="1"/>
    <w:link w:val="12"/>
    <w:qFormat/>
    <w:uiPriority w:val="0"/>
    <w:rPr>
      <w:rFonts w:ascii="宋体" w:hAnsi="Courier New" w:cs="宋体" w:eastAsiaTheme="minorEastAsia"/>
    </w:r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toc 1"/>
    <w:basedOn w:val="1"/>
    <w:next w:val="1"/>
    <w:qFormat/>
    <w:uiPriority w:val="0"/>
    <w:pPr>
      <w:tabs>
        <w:tab w:val="right" w:leader="dot" w:pos="8820"/>
      </w:tabs>
      <w:spacing w:before="120" w:after="120" w:line="360" w:lineRule="auto"/>
      <w:ind w:right="-53" w:rightChars="-25"/>
    </w:pPr>
    <w:rPr>
      <w:rFonts w:ascii="宋体" w:hAnsi="宋体" w:cs="宋体"/>
      <w:b/>
      <w:bCs/>
    </w:rPr>
  </w:style>
  <w:style w:type="character" w:customStyle="1" w:styleId="9">
    <w:name w:val="页眉 Char"/>
    <w:basedOn w:val="7"/>
    <w:link w:val="5"/>
    <w:semiHidden/>
    <w:qFormat/>
    <w:uiPriority w:val="99"/>
    <w:rPr>
      <w:sz w:val="18"/>
      <w:szCs w:val="18"/>
    </w:rPr>
  </w:style>
  <w:style w:type="character" w:customStyle="1" w:styleId="10">
    <w:name w:val="页脚 Char"/>
    <w:basedOn w:val="7"/>
    <w:link w:val="4"/>
    <w:semiHidden/>
    <w:qFormat/>
    <w:uiPriority w:val="99"/>
    <w:rPr>
      <w:sz w:val="18"/>
      <w:szCs w:val="18"/>
    </w:rPr>
  </w:style>
  <w:style w:type="character" w:customStyle="1" w:styleId="11">
    <w:name w:val="纯文本 Char"/>
    <w:basedOn w:val="7"/>
    <w:link w:val="3"/>
    <w:qFormat/>
    <w:uiPriority w:val="0"/>
    <w:rPr>
      <w:rFonts w:ascii="宋体" w:hAnsi="Courier New" w:cs="宋体"/>
      <w:szCs w:val="21"/>
    </w:rPr>
  </w:style>
  <w:style w:type="character" w:customStyle="1" w:styleId="12">
    <w:name w:val="纯文本 Char1"/>
    <w:basedOn w:val="7"/>
    <w:link w:val="3"/>
    <w:semiHidden/>
    <w:qFormat/>
    <w:uiPriority w:val="99"/>
    <w:rPr>
      <w:rFonts w:ascii="宋体" w:hAnsi="Courier New" w:eastAsia="宋体" w:cs="Courier New"/>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2118</Words>
  <Characters>2141</Characters>
  <Lines>16</Lines>
  <Paragraphs>4</Paragraphs>
  <ScaleCrop>false</ScaleCrop>
  <LinksUpToDate>false</LinksUpToDate>
  <CharactersWithSpaces>2251</CharactersWithSpaces>
  <Application>WPS Office_10.8.0.5988_F1E327BC-269C-435d-A152-05C5408002CA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2016-03-17T04:23:00Z</dcterms:created>
  <dc:creator>admin</dc:creator>
  <cp:lastModifiedBy>李鹏程</cp:lastModifiedBy>
  <cp:lastPrinted>2023-09-06T04:05:00Z</cp:lastPrinted>
  <dcterms:modified xsi:type="dcterms:W3CDTF">2025-09-19T02:03:15Z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2052-10.8.0.5988</vt:lpwstr>
  </property>
  <property fmtid="{D5CDD505-2E9C-101B-9397-08002B2CF9AE}" pid="3" name="KSOTemplateDocerSaveRecord">
    <vt:lpwstr>eyJoZGlkIjoiODY1NzFiNWZlY2Q1YmIyNmIxNGJjNmM4Y2Q4ODFhOTgiLCJ1c2VySWQiOiIyNTE3NDIzNDgifQ==</vt:lpwstr>
  </property>
  <property fmtid="{D5CDD505-2E9C-101B-9397-08002B2CF9AE}" pid="4" name="ICV">
    <vt:lpwstr>9C4F61780A3F4F1EBEBED3D8783E89B3_12</vt:lpwstr>
  </property>
</Properties>
</file>