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60647">
      <w:pPr>
        <w:pStyle w:val="6"/>
        <w:shd w:val="clea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 xml:space="preserve">   </w:t>
      </w:r>
    </w:p>
    <w:p w14:paraId="02376780">
      <w:pPr>
        <w:pStyle w:val="6"/>
        <w:shd w:val="clear"/>
        <w:rPr>
          <w:rFonts w:hint="default" w:ascii="方正小标宋简体" w:hAnsi="方正小标宋简体" w:eastAsia="方正小标宋简体" w:cs="方正小标宋简体"/>
          <w:color w:val="auto"/>
          <w:sz w:val="44"/>
          <w:szCs w:val="44"/>
          <w:highlight w:val="none"/>
          <w:lang w:val="en-US" w:eastAsia="zh-CN"/>
        </w:rPr>
      </w:pPr>
      <w:bookmarkStart w:id="2" w:name="_GoBack"/>
      <w:bookmarkEnd w:id="2"/>
    </w:p>
    <w:p w14:paraId="2F3E86D9">
      <w:pPr>
        <w:pStyle w:val="6"/>
        <w:shd w:val="clear"/>
        <w:rPr>
          <w:rFonts w:hint="default" w:ascii="方正小标宋简体" w:hAnsi="方正小标宋简体" w:eastAsia="方正小标宋简体" w:cs="方正小标宋简体"/>
          <w:color w:val="auto"/>
          <w:sz w:val="44"/>
          <w:szCs w:val="44"/>
          <w:highlight w:val="none"/>
          <w:lang w:val="en-US" w:eastAsia="zh-CN"/>
        </w:rPr>
      </w:pPr>
    </w:p>
    <w:p w14:paraId="3F4D1A34">
      <w:pPr>
        <w:pStyle w:val="6"/>
        <w:shd w:val="clear"/>
        <w:rPr>
          <w:rFonts w:hint="eastAsia" w:ascii="方正小标宋简体" w:hAnsi="方正小标宋简体" w:eastAsia="方正小标宋简体" w:cs="方正小标宋简体"/>
          <w:color w:val="auto"/>
          <w:sz w:val="44"/>
          <w:szCs w:val="44"/>
          <w:highlight w:val="none"/>
        </w:rPr>
      </w:pPr>
    </w:p>
    <w:p w14:paraId="6E0F5A97">
      <w:pPr>
        <w:shd w:val="clear"/>
        <w:spacing w:line="560" w:lineRule="exact"/>
        <w:jc w:val="center"/>
        <w:rPr>
          <w:rFonts w:hint="eastAsia" w:ascii="仿宋_GB2312" w:hAnsi="仿宋_GB2312" w:eastAsia="方正小标宋简体" w:cs="仿宋_GB2312"/>
          <w:color w:val="auto"/>
          <w:sz w:val="32"/>
          <w:szCs w:val="32"/>
          <w:highlight w:val="none"/>
          <w:lang w:val="en-US" w:eastAsia="zh-CN"/>
        </w:rPr>
      </w:pPr>
      <w:r>
        <w:rPr>
          <w:rFonts w:hint="eastAsia" w:ascii="方正小标宋简体" w:hAnsi="方正小标宋简体" w:eastAsia="方正小标宋简体" w:cs="方正小标宋简体"/>
          <w:color w:val="auto"/>
          <w:sz w:val="44"/>
          <w:szCs w:val="44"/>
          <w:highlight w:val="none"/>
        </w:rPr>
        <w:t>市场煤采购合同</w:t>
      </w:r>
      <w:r>
        <w:rPr>
          <w:rFonts w:hint="eastAsia" w:ascii="方正小标宋简体" w:hAnsi="方正小标宋简体" w:eastAsia="方正小标宋简体" w:cs="方正小标宋简体"/>
          <w:color w:val="auto"/>
          <w:sz w:val="44"/>
          <w:szCs w:val="44"/>
          <w:highlight w:val="none"/>
          <w:lang w:val="en-US" w:eastAsia="zh-CN"/>
        </w:rPr>
        <w:t>范本</w:t>
      </w:r>
    </w:p>
    <w:p w14:paraId="60F9FF16">
      <w:pPr>
        <w:shd w:val="clear"/>
        <w:spacing w:line="560" w:lineRule="exact"/>
        <w:rPr>
          <w:color w:val="auto"/>
          <w:sz w:val="32"/>
          <w:szCs w:val="32"/>
          <w:highlight w:val="none"/>
        </w:rPr>
      </w:pPr>
    </w:p>
    <w:p w14:paraId="0DCE2CEF">
      <w:pPr>
        <w:pStyle w:val="2"/>
      </w:pPr>
    </w:p>
    <w:p w14:paraId="5FF25A90">
      <w:pPr>
        <w:shd w:val="clear"/>
        <w:spacing w:line="560" w:lineRule="exact"/>
        <w:rPr>
          <w:color w:val="auto"/>
          <w:sz w:val="32"/>
          <w:szCs w:val="32"/>
          <w:highlight w:val="none"/>
        </w:rPr>
      </w:pPr>
    </w:p>
    <w:p w14:paraId="60208A2B">
      <w:pPr>
        <w:shd w:val="clear"/>
        <w:spacing w:line="560" w:lineRule="exact"/>
        <w:rPr>
          <w:color w:val="auto"/>
          <w:sz w:val="32"/>
          <w:szCs w:val="32"/>
          <w:highlight w:val="none"/>
        </w:rPr>
      </w:pPr>
    </w:p>
    <w:p w14:paraId="6925BF01">
      <w:pPr>
        <w:shd w:val="clear"/>
        <w:spacing w:line="560" w:lineRule="exact"/>
        <w:rPr>
          <w:color w:val="auto"/>
          <w:sz w:val="32"/>
          <w:szCs w:val="32"/>
          <w:highlight w:val="none"/>
        </w:rPr>
      </w:pPr>
    </w:p>
    <w:p w14:paraId="5D93242D">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合同编号：</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（甲方）</w:t>
      </w:r>
    </w:p>
    <w:p w14:paraId="6733490B">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rPr>
        <w:t>合同编号：</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（乙方）</w:t>
      </w:r>
    </w:p>
    <w:p w14:paraId="7F491DA8">
      <w:pPr>
        <w:shd w:val="clear"/>
        <w:spacing w:line="560" w:lineRule="exact"/>
        <w:jc w:val="center"/>
        <w:rPr>
          <w:color w:val="auto"/>
          <w:sz w:val="32"/>
          <w:szCs w:val="32"/>
          <w:highlight w:val="none"/>
        </w:rPr>
      </w:pPr>
      <w:r>
        <w:rPr>
          <w:rFonts w:hint="eastAsia" w:ascii="仿宋_GB2312" w:hAnsi="仿宋_GB2312" w:eastAsia="仿宋_GB2312" w:cs="仿宋_GB2312"/>
          <w:color w:val="auto"/>
          <w:sz w:val="32"/>
          <w:szCs w:val="32"/>
          <w:highlight w:val="none"/>
        </w:rPr>
        <w:t>签订时间：</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（年月日）</w:t>
      </w:r>
    </w:p>
    <w:p w14:paraId="6DD30193">
      <w:pPr>
        <w:shd w:val="clear"/>
        <w:spacing w:line="560" w:lineRule="exact"/>
        <w:jc w:val="center"/>
        <w:rPr>
          <w:color w:val="auto"/>
          <w:sz w:val="32"/>
          <w:szCs w:val="32"/>
          <w:highlight w:val="none"/>
        </w:rPr>
      </w:pPr>
    </w:p>
    <w:p w14:paraId="00378971">
      <w:pPr>
        <w:shd w:val="clear"/>
        <w:spacing w:line="560" w:lineRule="exact"/>
        <w:jc w:val="center"/>
        <w:rPr>
          <w:color w:val="auto"/>
          <w:sz w:val="32"/>
          <w:szCs w:val="32"/>
          <w:highlight w:val="none"/>
        </w:rPr>
      </w:pPr>
    </w:p>
    <w:p w14:paraId="1C97845B">
      <w:pPr>
        <w:shd w:val="clear"/>
        <w:spacing w:line="560" w:lineRule="exact"/>
        <w:jc w:val="center"/>
        <w:rPr>
          <w:color w:val="auto"/>
          <w:sz w:val="32"/>
          <w:szCs w:val="32"/>
          <w:highlight w:val="none"/>
        </w:rPr>
      </w:pPr>
    </w:p>
    <w:p w14:paraId="1F9A43E7">
      <w:pPr>
        <w:shd w:val="clear"/>
        <w:spacing w:line="560" w:lineRule="exact"/>
        <w:rPr>
          <w:color w:val="auto"/>
          <w:sz w:val="32"/>
          <w:szCs w:val="32"/>
          <w:highlight w:val="none"/>
        </w:rPr>
      </w:pPr>
    </w:p>
    <w:p w14:paraId="22581392">
      <w:pPr>
        <w:shd w:val="clear"/>
        <w:spacing w:line="560" w:lineRule="exact"/>
        <w:jc w:val="center"/>
        <w:rPr>
          <w:color w:val="auto"/>
          <w:sz w:val="32"/>
          <w:szCs w:val="32"/>
          <w:highlight w:val="none"/>
        </w:rPr>
      </w:pPr>
    </w:p>
    <w:p w14:paraId="214F3FD3">
      <w:pPr>
        <w:shd w:val="clear"/>
        <w:spacing w:line="560" w:lineRule="exact"/>
        <w:jc w:val="center"/>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val="en-US" w:eastAsia="zh-CN"/>
        </w:rPr>
        <w:t xml:space="preserve">购 货 </w:t>
      </w:r>
      <w:r>
        <w:rPr>
          <w:rFonts w:hint="eastAsia" w:ascii="仿宋_GB2312" w:hAnsi="仿宋_GB2312" w:eastAsia="仿宋_GB2312" w:cs="仿宋_GB2312"/>
          <w:color w:val="auto"/>
          <w:sz w:val="32"/>
          <w:szCs w:val="32"/>
          <w:highlight w:val="none"/>
        </w:rPr>
        <w:t>单 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 xml:space="preserve">     （甲方）</w:t>
      </w:r>
    </w:p>
    <w:p w14:paraId="0655FAB2">
      <w:pPr>
        <w:shd w:val="clear"/>
        <w:spacing w:line="560" w:lineRule="exact"/>
        <w:jc w:val="center"/>
        <w:rPr>
          <w:rFonts w:hint="eastAsia" w:ascii="宋体" w:hAnsi="宋体"/>
          <w:b/>
          <w:color w:val="auto"/>
          <w:sz w:val="44"/>
          <w:szCs w:val="44"/>
          <w:highlight w:val="none"/>
        </w:rPr>
      </w:pPr>
      <w:r>
        <w:rPr>
          <w:rFonts w:hint="eastAsia" w:ascii="仿宋_GB2312" w:hAnsi="仿宋_GB2312" w:eastAsia="仿宋_GB2312" w:cs="仿宋_GB2312"/>
          <w:color w:val="auto"/>
          <w:sz w:val="32"/>
          <w:szCs w:val="32"/>
          <w:highlight w:val="none"/>
          <w:lang w:val="en-US" w:eastAsia="zh-Hans"/>
        </w:rPr>
        <w:t>供</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Hans"/>
        </w:rPr>
        <w:t>货</w:t>
      </w:r>
      <w:r>
        <w:rPr>
          <w:rFonts w:hint="eastAsia" w:ascii="仿宋_GB2312" w:hAnsi="仿宋_GB2312" w:eastAsia="仿宋_GB2312" w:cs="仿宋_GB2312"/>
          <w:color w:val="auto"/>
          <w:sz w:val="32"/>
          <w:szCs w:val="32"/>
          <w:highlight w:val="none"/>
        </w:rPr>
        <w:t xml:space="preserve"> 单 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color="000000"/>
        </w:rPr>
        <w:t xml:space="preserve">                        </w:t>
      </w:r>
      <w:r>
        <w:rPr>
          <w:rFonts w:hint="eastAsia" w:ascii="仿宋_GB2312" w:hAnsi="仿宋_GB2312" w:eastAsia="仿宋_GB2312" w:cs="仿宋_GB2312"/>
          <w:color w:val="auto"/>
          <w:sz w:val="32"/>
          <w:szCs w:val="32"/>
          <w:highlight w:val="none"/>
          <w:u w:val="single"/>
        </w:rPr>
        <w:t>（乙方）</w:t>
      </w:r>
    </w:p>
    <w:p w14:paraId="57029797">
      <w:pPr>
        <w:shd w:val="clear"/>
        <w:spacing w:line="560" w:lineRule="exact"/>
        <w:jc w:val="center"/>
        <w:rPr>
          <w:rFonts w:hint="eastAsia" w:ascii="宋体" w:hAnsi="宋体"/>
          <w:b/>
          <w:color w:val="auto"/>
          <w:sz w:val="44"/>
          <w:szCs w:val="44"/>
          <w:highlight w:val="none"/>
        </w:rPr>
      </w:pPr>
    </w:p>
    <w:p w14:paraId="4D86746F">
      <w:pPr>
        <w:widowControl/>
        <w:shd w:val="clear"/>
        <w:jc w:val="left"/>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甲方（</w:t>
      </w:r>
      <w:r>
        <w:rPr>
          <w:rFonts w:hint="eastAsia" w:ascii="仿宋" w:hAnsi="仿宋" w:eastAsia="仿宋" w:cs="仿宋"/>
          <w:b/>
          <w:color w:val="auto"/>
          <w:kern w:val="0"/>
          <w:sz w:val="32"/>
          <w:szCs w:val="32"/>
          <w:highlight w:val="none"/>
          <w:lang w:val="en-US" w:eastAsia="zh-CN"/>
        </w:rPr>
        <w:t>购货</w:t>
      </w:r>
      <w:r>
        <w:rPr>
          <w:rFonts w:hint="eastAsia" w:ascii="仿宋" w:hAnsi="仿宋" w:eastAsia="仿宋" w:cs="仿宋"/>
          <w:b/>
          <w:color w:val="auto"/>
          <w:kern w:val="0"/>
          <w:sz w:val="32"/>
          <w:szCs w:val="32"/>
          <w:highlight w:val="none"/>
        </w:rPr>
        <w:t xml:space="preserve">方）: </w:t>
      </w:r>
    </w:p>
    <w:tbl>
      <w:tblPr>
        <w:tblStyle w:val="10"/>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9"/>
        <w:gridCol w:w="1098"/>
        <w:gridCol w:w="1803"/>
        <w:gridCol w:w="900"/>
        <w:gridCol w:w="2067"/>
      </w:tblGrid>
      <w:tr w14:paraId="1D32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5B9091BD">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甲</w:t>
            </w:r>
            <w:r>
              <w:rPr>
                <w:rFonts w:hint="eastAsia" w:ascii="仿宋" w:hAnsi="仿宋" w:eastAsia="仿宋" w:cs="仿宋"/>
                <w:color w:val="auto"/>
                <w:sz w:val="32"/>
                <w:szCs w:val="32"/>
                <w:highlight w:val="none"/>
              </w:rPr>
              <w:t>方单位名称</w:t>
            </w:r>
          </w:p>
        </w:tc>
        <w:tc>
          <w:tcPr>
            <w:tcW w:w="5868" w:type="dxa"/>
            <w:gridSpan w:val="4"/>
            <w:noWrap w:val="0"/>
            <w:vAlign w:val="top"/>
          </w:tcPr>
          <w:p w14:paraId="52D77D3F">
            <w:pPr>
              <w:shd w:val="clear"/>
              <w:spacing w:line="560" w:lineRule="exact"/>
              <w:rPr>
                <w:rFonts w:hint="eastAsia" w:ascii="仿宋" w:hAnsi="仿宋" w:eastAsia="仿宋" w:cs="仿宋"/>
                <w:color w:val="auto"/>
                <w:sz w:val="32"/>
                <w:szCs w:val="32"/>
                <w:highlight w:val="none"/>
              </w:rPr>
            </w:pPr>
          </w:p>
        </w:tc>
      </w:tr>
      <w:tr w14:paraId="706C7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6FE51D76">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统一社会信用代码</w:t>
            </w:r>
          </w:p>
        </w:tc>
        <w:tc>
          <w:tcPr>
            <w:tcW w:w="5868" w:type="dxa"/>
            <w:gridSpan w:val="4"/>
            <w:noWrap w:val="0"/>
            <w:vAlign w:val="top"/>
          </w:tcPr>
          <w:p w14:paraId="1B6C3BDE">
            <w:pPr>
              <w:shd w:val="clear"/>
              <w:spacing w:line="560" w:lineRule="exact"/>
              <w:rPr>
                <w:rFonts w:hint="eastAsia" w:ascii="仿宋" w:hAnsi="仿宋" w:eastAsia="仿宋" w:cs="仿宋"/>
                <w:color w:val="auto"/>
                <w:sz w:val="32"/>
                <w:szCs w:val="32"/>
                <w:highlight w:val="none"/>
              </w:rPr>
            </w:pPr>
          </w:p>
        </w:tc>
      </w:tr>
      <w:tr w14:paraId="0792E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76DFE01A">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营业执照注册号</w:t>
            </w:r>
          </w:p>
        </w:tc>
        <w:tc>
          <w:tcPr>
            <w:tcW w:w="5868" w:type="dxa"/>
            <w:gridSpan w:val="4"/>
            <w:noWrap w:val="0"/>
            <w:vAlign w:val="top"/>
          </w:tcPr>
          <w:p w14:paraId="183E7522">
            <w:pPr>
              <w:shd w:val="clear"/>
              <w:spacing w:line="560" w:lineRule="exact"/>
              <w:rPr>
                <w:rFonts w:hint="eastAsia" w:ascii="仿宋" w:hAnsi="仿宋" w:eastAsia="仿宋" w:cs="仿宋"/>
                <w:color w:val="auto"/>
                <w:sz w:val="32"/>
                <w:szCs w:val="32"/>
                <w:highlight w:val="none"/>
              </w:rPr>
            </w:pPr>
          </w:p>
        </w:tc>
      </w:tr>
      <w:tr w14:paraId="6091C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430827FC">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税务登记号</w:t>
            </w:r>
          </w:p>
        </w:tc>
        <w:tc>
          <w:tcPr>
            <w:tcW w:w="5868" w:type="dxa"/>
            <w:gridSpan w:val="4"/>
            <w:noWrap w:val="0"/>
            <w:vAlign w:val="top"/>
          </w:tcPr>
          <w:p w14:paraId="1CC50D25">
            <w:pPr>
              <w:shd w:val="clear"/>
              <w:spacing w:line="560" w:lineRule="exact"/>
              <w:rPr>
                <w:rFonts w:hint="eastAsia" w:ascii="仿宋" w:hAnsi="仿宋" w:eastAsia="仿宋" w:cs="仿宋"/>
                <w:color w:val="auto"/>
                <w:sz w:val="32"/>
                <w:szCs w:val="32"/>
                <w:highlight w:val="none"/>
              </w:rPr>
            </w:pPr>
          </w:p>
        </w:tc>
      </w:tr>
      <w:tr w14:paraId="552E6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7083A6E4">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单位地址</w:t>
            </w:r>
          </w:p>
        </w:tc>
        <w:tc>
          <w:tcPr>
            <w:tcW w:w="5868" w:type="dxa"/>
            <w:gridSpan w:val="4"/>
            <w:noWrap w:val="0"/>
            <w:vAlign w:val="top"/>
          </w:tcPr>
          <w:p w14:paraId="022DE56F">
            <w:pPr>
              <w:shd w:val="clear"/>
              <w:spacing w:line="560" w:lineRule="exact"/>
              <w:rPr>
                <w:rFonts w:hint="eastAsia" w:ascii="仿宋" w:hAnsi="仿宋" w:eastAsia="仿宋" w:cs="仿宋"/>
                <w:color w:val="auto"/>
                <w:sz w:val="32"/>
                <w:szCs w:val="32"/>
                <w:highlight w:val="none"/>
              </w:rPr>
            </w:pPr>
          </w:p>
        </w:tc>
      </w:tr>
      <w:tr w14:paraId="5ED1D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1AA625DF">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单位法定代表人</w:t>
            </w:r>
          </w:p>
        </w:tc>
        <w:tc>
          <w:tcPr>
            <w:tcW w:w="5868" w:type="dxa"/>
            <w:gridSpan w:val="4"/>
            <w:noWrap w:val="0"/>
            <w:vAlign w:val="top"/>
          </w:tcPr>
          <w:p w14:paraId="3CE3A2D2">
            <w:pPr>
              <w:shd w:val="clear"/>
              <w:spacing w:line="560" w:lineRule="exact"/>
              <w:rPr>
                <w:rFonts w:hint="eastAsia" w:ascii="仿宋" w:hAnsi="仿宋" w:eastAsia="仿宋" w:cs="仿宋"/>
                <w:color w:val="auto"/>
                <w:sz w:val="32"/>
                <w:szCs w:val="32"/>
                <w:highlight w:val="none"/>
              </w:rPr>
            </w:pPr>
          </w:p>
        </w:tc>
      </w:tr>
      <w:tr w14:paraId="70FC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39880D0C">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开户银行及网点</w:t>
            </w:r>
          </w:p>
        </w:tc>
        <w:tc>
          <w:tcPr>
            <w:tcW w:w="5868" w:type="dxa"/>
            <w:gridSpan w:val="4"/>
            <w:noWrap w:val="0"/>
            <w:vAlign w:val="top"/>
          </w:tcPr>
          <w:p w14:paraId="10C7BC1B">
            <w:pPr>
              <w:shd w:val="clear"/>
              <w:spacing w:line="560" w:lineRule="exact"/>
              <w:rPr>
                <w:rFonts w:hint="eastAsia" w:ascii="仿宋" w:hAnsi="仿宋" w:eastAsia="仿宋" w:cs="仿宋"/>
                <w:color w:val="auto"/>
                <w:sz w:val="32"/>
                <w:szCs w:val="32"/>
                <w:highlight w:val="none"/>
              </w:rPr>
            </w:pPr>
          </w:p>
        </w:tc>
      </w:tr>
      <w:tr w14:paraId="0171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0F474B04">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开户账号</w:t>
            </w:r>
          </w:p>
        </w:tc>
        <w:tc>
          <w:tcPr>
            <w:tcW w:w="5868" w:type="dxa"/>
            <w:gridSpan w:val="4"/>
            <w:noWrap w:val="0"/>
            <w:vAlign w:val="top"/>
          </w:tcPr>
          <w:p w14:paraId="3E0F67CA">
            <w:pPr>
              <w:shd w:val="clear"/>
              <w:spacing w:line="560" w:lineRule="exact"/>
              <w:rPr>
                <w:rFonts w:hint="eastAsia" w:ascii="仿宋" w:hAnsi="仿宋" w:eastAsia="仿宋" w:cs="仿宋"/>
                <w:color w:val="auto"/>
                <w:sz w:val="32"/>
                <w:szCs w:val="32"/>
                <w:highlight w:val="none"/>
              </w:rPr>
            </w:pPr>
          </w:p>
        </w:tc>
      </w:tr>
      <w:tr w14:paraId="6704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vMerge w:val="restart"/>
            <w:noWrap w:val="0"/>
            <w:vAlign w:val="center"/>
          </w:tcPr>
          <w:p w14:paraId="665B2C43">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甲</w:t>
            </w:r>
            <w:r>
              <w:rPr>
                <w:rFonts w:hint="eastAsia" w:ascii="仿宋" w:hAnsi="仿宋" w:eastAsia="仿宋" w:cs="仿宋"/>
                <w:color w:val="auto"/>
                <w:sz w:val="32"/>
                <w:szCs w:val="32"/>
                <w:highlight w:val="none"/>
              </w:rPr>
              <w:t>方联络人信息</w:t>
            </w:r>
          </w:p>
        </w:tc>
        <w:tc>
          <w:tcPr>
            <w:tcW w:w="1098" w:type="dxa"/>
            <w:noWrap w:val="0"/>
            <w:vAlign w:val="center"/>
          </w:tcPr>
          <w:p w14:paraId="16700BAC">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姓名</w:t>
            </w:r>
          </w:p>
        </w:tc>
        <w:tc>
          <w:tcPr>
            <w:tcW w:w="1803" w:type="dxa"/>
            <w:noWrap w:val="0"/>
            <w:vAlign w:val="center"/>
          </w:tcPr>
          <w:p w14:paraId="3FF3DECD">
            <w:pPr>
              <w:shd w:val="clear"/>
              <w:spacing w:line="560" w:lineRule="exact"/>
              <w:jc w:val="left"/>
              <w:rPr>
                <w:rFonts w:hint="eastAsia" w:ascii="仿宋" w:hAnsi="仿宋" w:eastAsia="仿宋" w:cs="仿宋"/>
                <w:color w:val="auto"/>
                <w:sz w:val="32"/>
                <w:szCs w:val="32"/>
                <w:highlight w:val="none"/>
              </w:rPr>
            </w:pPr>
          </w:p>
        </w:tc>
        <w:tc>
          <w:tcPr>
            <w:tcW w:w="900" w:type="dxa"/>
            <w:noWrap w:val="0"/>
            <w:vAlign w:val="center"/>
          </w:tcPr>
          <w:p w14:paraId="7F19C98C">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电话</w:t>
            </w:r>
          </w:p>
        </w:tc>
        <w:tc>
          <w:tcPr>
            <w:tcW w:w="2067" w:type="dxa"/>
            <w:noWrap w:val="0"/>
            <w:vAlign w:val="top"/>
          </w:tcPr>
          <w:p w14:paraId="2DD68355">
            <w:pPr>
              <w:shd w:val="clear"/>
              <w:spacing w:line="560" w:lineRule="exact"/>
              <w:jc w:val="left"/>
              <w:rPr>
                <w:rFonts w:hint="eastAsia" w:ascii="仿宋" w:hAnsi="仿宋" w:eastAsia="仿宋" w:cs="仿宋"/>
                <w:color w:val="auto"/>
                <w:sz w:val="32"/>
                <w:szCs w:val="32"/>
                <w:highlight w:val="none"/>
              </w:rPr>
            </w:pPr>
          </w:p>
        </w:tc>
      </w:tr>
      <w:tr w14:paraId="54EED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129" w:type="dxa"/>
            <w:vMerge w:val="continue"/>
            <w:noWrap w:val="0"/>
            <w:vAlign w:val="top"/>
          </w:tcPr>
          <w:p w14:paraId="52B92FAA">
            <w:pPr>
              <w:shd w:val="clear"/>
              <w:spacing w:line="560" w:lineRule="exact"/>
              <w:jc w:val="left"/>
              <w:rPr>
                <w:rFonts w:hint="eastAsia" w:ascii="仿宋" w:hAnsi="仿宋" w:eastAsia="仿宋" w:cs="仿宋"/>
                <w:color w:val="auto"/>
                <w:sz w:val="32"/>
                <w:szCs w:val="32"/>
                <w:highlight w:val="none"/>
              </w:rPr>
            </w:pPr>
          </w:p>
        </w:tc>
        <w:tc>
          <w:tcPr>
            <w:tcW w:w="1098" w:type="dxa"/>
            <w:noWrap w:val="0"/>
            <w:vAlign w:val="center"/>
          </w:tcPr>
          <w:p w14:paraId="5D14D481">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邮箱</w:t>
            </w:r>
          </w:p>
        </w:tc>
        <w:tc>
          <w:tcPr>
            <w:tcW w:w="1803" w:type="dxa"/>
            <w:noWrap w:val="0"/>
            <w:vAlign w:val="center"/>
          </w:tcPr>
          <w:p w14:paraId="21F624D3">
            <w:pPr>
              <w:shd w:val="clear"/>
              <w:spacing w:line="560" w:lineRule="exact"/>
              <w:jc w:val="left"/>
              <w:rPr>
                <w:rFonts w:hint="eastAsia" w:ascii="仿宋" w:hAnsi="仿宋" w:eastAsia="仿宋" w:cs="仿宋"/>
                <w:color w:val="auto"/>
                <w:sz w:val="32"/>
                <w:szCs w:val="32"/>
                <w:highlight w:val="none"/>
              </w:rPr>
            </w:pPr>
          </w:p>
        </w:tc>
        <w:tc>
          <w:tcPr>
            <w:tcW w:w="900" w:type="dxa"/>
            <w:noWrap w:val="0"/>
            <w:vAlign w:val="center"/>
          </w:tcPr>
          <w:p w14:paraId="61138090">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传真</w:t>
            </w:r>
          </w:p>
        </w:tc>
        <w:tc>
          <w:tcPr>
            <w:tcW w:w="2067" w:type="dxa"/>
            <w:noWrap w:val="0"/>
            <w:vAlign w:val="top"/>
          </w:tcPr>
          <w:p w14:paraId="7D84AE6D">
            <w:pPr>
              <w:shd w:val="clear"/>
              <w:spacing w:line="560" w:lineRule="exact"/>
              <w:jc w:val="left"/>
              <w:rPr>
                <w:rFonts w:hint="eastAsia" w:ascii="仿宋" w:hAnsi="仿宋" w:eastAsia="仿宋" w:cs="仿宋"/>
                <w:color w:val="auto"/>
                <w:sz w:val="32"/>
                <w:szCs w:val="32"/>
                <w:highlight w:val="none"/>
              </w:rPr>
            </w:pPr>
          </w:p>
        </w:tc>
      </w:tr>
    </w:tbl>
    <w:p w14:paraId="72183CAF">
      <w:pPr>
        <w:widowControl/>
        <w:shd w:val="clear"/>
        <w:jc w:val="left"/>
        <w:rPr>
          <w:rFonts w:hint="eastAsia" w:ascii="仿宋" w:hAnsi="仿宋" w:eastAsia="仿宋" w:cs="仿宋"/>
          <w:b/>
          <w:color w:val="auto"/>
          <w:kern w:val="0"/>
          <w:sz w:val="32"/>
          <w:szCs w:val="32"/>
          <w:highlight w:val="none"/>
        </w:rPr>
      </w:pPr>
    </w:p>
    <w:p w14:paraId="551A6379">
      <w:pPr>
        <w:widowControl/>
        <w:shd w:val="clear"/>
        <w:jc w:val="left"/>
        <w:rPr>
          <w:rFonts w:hint="eastAsia" w:ascii="仿宋" w:hAnsi="仿宋" w:eastAsia="仿宋" w:cs="仿宋"/>
          <w:b/>
          <w:color w:val="auto"/>
          <w:kern w:val="0"/>
          <w:sz w:val="32"/>
          <w:szCs w:val="32"/>
          <w:highlight w:val="none"/>
        </w:rPr>
      </w:pPr>
      <w:r>
        <w:rPr>
          <w:rFonts w:hint="eastAsia" w:ascii="仿宋" w:hAnsi="仿宋" w:eastAsia="仿宋" w:cs="仿宋"/>
          <w:b/>
          <w:color w:val="auto"/>
          <w:kern w:val="0"/>
          <w:sz w:val="32"/>
          <w:szCs w:val="32"/>
          <w:highlight w:val="none"/>
        </w:rPr>
        <w:t>乙方（</w:t>
      </w:r>
      <w:r>
        <w:rPr>
          <w:rFonts w:hint="eastAsia" w:ascii="仿宋" w:hAnsi="仿宋" w:eastAsia="仿宋" w:cs="仿宋"/>
          <w:b/>
          <w:color w:val="auto"/>
          <w:kern w:val="0"/>
          <w:sz w:val="32"/>
          <w:szCs w:val="32"/>
          <w:highlight w:val="none"/>
          <w:lang w:val="en-US" w:eastAsia="zh-Hans"/>
        </w:rPr>
        <w:t>供货</w:t>
      </w:r>
      <w:r>
        <w:rPr>
          <w:rFonts w:hint="eastAsia" w:ascii="仿宋" w:hAnsi="仿宋" w:eastAsia="仿宋" w:cs="仿宋"/>
          <w:b/>
          <w:color w:val="auto"/>
          <w:kern w:val="0"/>
          <w:sz w:val="32"/>
          <w:szCs w:val="32"/>
          <w:highlight w:val="none"/>
        </w:rPr>
        <w:t>方）：</w:t>
      </w:r>
    </w:p>
    <w:tbl>
      <w:tblPr>
        <w:tblStyle w:val="10"/>
        <w:tblW w:w="89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9"/>
        <w:gridCol w:w="1098"/>
        <w:gridCol w:w="1803"/>
        <w:gridCol w:w="912"/>
        <w:gridCol w:w="2055"/>
      </w:tblGrid>
      <w:tr w14:paraId="3566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0B4CAFB6">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乙方单位名称</w:t>
            </w:r>
          </w:p>
        </w:tc>
        <w:tc>
          <w:tcPr>
            <w:tcW w:w="5868" w:type="dxa"/>
            <w:gridSpan w:val="4"/>
            <w:noWrap w:val="0"/>
            <w:vAlign w:val="top"/>
          </w:tcPr>
          <w:p w14:paraId="5C41BF69">
            <w:pPr>
              <w:shd w:val="clear"/>
              <w:spacing w:line="560" w:lineRule="exact"/>
              <w:rPr>
                <w:rFonts w:hint="eastAsia" w:ascii="仿宋" w:hAnsi="仿宋" w:eastAsia="仿宋" w:cs="仿宋"/>
                <w:color w:val="auto"/>
                <w:sz w:val="32"/>
                <w:szCs w:val="32"/>
                <w:highlight w:val="none"/>
              </w:rPr>
            </w:pPr>
          </w:p>
        </w:tc>
      </w:tr>
      <w:tr w14:paraId="5694C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6077314A">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统一社会信用代码</w:t>
            </w:r>
          </w:p>
        </w:tc>
        <w:tc>
          <w:tcPr>
            <w:tcW w:w="5868" w:type="dxa"/>
            <w:gridSpan w:val="4"/>
            <w:noWrap w:val="0"/>
            <w:vAlign w:val="top"/>
          </w:tcPr>
          <w:p w14:paraId="4BE5F258">
            <w:pPr>
              <w:shd w:val="clear"/>
              <w:spacing w:line="560" w:lineRule="exact"/>
              <w:rPr>
                <w:rFonts w:hint="eastAsia" w:ascii="仿宋" w:hAnsi="仿宋" w:eastAsia="仿宋" w:cs="仿宋"/>
                <w:color w:val="auto"/>
                <w:sz w:val="32"/>
                <w:szCs w:val="32"/>
                <w:highlight w:val="none"/>
              </w:rPr>
            </w:pPr>
          </w:p>
        </w:tc>
      </w:tr>
      <w:tr w14:paraId="13ECC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3CD340C2">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营业执照注册号</w:t>
            </w:r>
          </w:p>
        </w:tc>
        <w:tc>
          <w:tcPr>
            <w:tcW w:w="5868" w:type="dxa"/>
            <w:gridSpan w:val="4"/>
            <w:noWrap w:val="0"/>
            <w:vAlign w:val="top"/>
          </w:tcPr>
          <w:p w14:paraId="2DC4107C">
            <w:pPr>
              <w:shd w:val="clear"/>
              <w:spacing w:line="560" w:lineRule="exact"/>
              <w:rPr>
                <w:rFonts w:hint="eastAsia" w:ascii="仿宋" w:hAnsi="仿宋" w:eastAsia="仿宋" w:cs="仿宋"/>
                <w:color w:val="auto"/>
                <w:sz w:val="32"/>
                <w:szCs w:val="32"/>
                <w:highlight w:val="none"/>
              </w:rPr>
            </w:pPr>
          </w:p>
        </w:tc>
      </w:tr>
      <w:tr w14:paraId="0E35B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6DC2739E">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税务登记号</w:t>
            </w:r>
          </w:p>
        </w:tc>
        <w:tc>
          <w:tcPr>
            <w:tcW w:w="5868" w:type="dxa"/>
            <w:gridSpan w:val="4"/>
            <w:noWrap w:val="0"/>
            <w:vAlign w:val="top"/>
          </w:tcPr>
          <w:p w14:paraId="1CA8F4A7">
            <w:pPr>
              <w:shd w:val="clear"/>
              <w:spacing w:line="560" w:lineRule="exact"/>
              <w:rPr>
                <w:rFonts w:hint="eastAsia" w:ascii="仿宋" w:hAnsi="仿宋" w:eastAsia="仿宋" w:cs="仿宋"/>
                <w:color w:val="auto"/>
                <w:sz w:val="32"/>
                <w:szCs w:val="32"/>
                <w:highlight w:val="none"/>
              </w:rPr>
            </w:pPr>
          </w:p>
        </w:tc>
      </w:tr>
      <w:tr w14:paraId="6D90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4395B8C1">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单位地址</w:t>
            </w:r>
          </w:p>
        </w:tc>
        <w:tc>
          <w:tcPr>
            <w:tcW w:w="5868" w:type="dxa"/>
            <w:gridSpan w:val="4"/>
            <w:noWrap w:val="0"/>
            <w:vAlign w:val="top"/>
          </w:tcPr>
          <w:p w14:paraId="0BF38F7F">
            <w:pPr>
              <w:shd w:val="clear"/>
              <w:spacing w:line="560" w:lineRule="exact"/>
              <w:rPr>
                <w:rFonts w:hint="eastAsia" w:ascii="仿宋" w:hAnsi="仿宋" w:eastAsia="仿宋" w:cs="仿宋"/>
                <w:color w:val="auto"/>
                <w:sz w:val="32"/>
                <w:szCs w:val="32"/>
                <w:highlight w:val="none"/>
              </w:rPr>
            </w:pPr>
          </w:p>
        </w:tc>
      </w:tr>
      <w:tr w14:paraId="38D3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55F9BFC0">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单位法定代表人</w:t>
            </w:r>
          </w:p>
        </w:tc>
        <w:tc>
          <w:tcPr>
            <w:tcW w:w="5868" w:type="dxa"/>
            <w:gridSpan w:val="4"/>
            <w:noWrap w:val="0"/>
            <w:vAlign w:val="top"/>
          </w:tcPr>
          <w:p w14:paraId="01FF049F">
            <w:pPr>
              <w:shd w:val="clear"/>
              <w:spacing w:line="560" w:lineRule="exact"/>
              <w:rPr>
                <w:rFonts w:hint="eastAsia" w:ascii="仿宋" w:hAnsi="仿宋" w:eastAsia="仿宋" w:cs="仿宋"/>
                <w:color w:val="auto"/>
                <w:sz w:val="32"/>
                <w:szCs w:val="32"/>
                <w:highlight w:val="none"/>
              </w:rPr>
            </w:pPr>
          </w:p>
        </w:tc>
      </w:tr>
      <w:tr w14:paraId="0119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3A0B1DDB">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开户银行及网点</w:t>
            </w:r>
          </w:p>
        </w:tc>
        <w:tc>
          <w:tcPr>
            <w:tcW w:w="5868" w:type="dxa"/>
            <w:gridSpan w:val="4"/>
            <w:noWrap w:val="0"/>
            <w:vAlign w:val="top"/>
          </w:tcPr>
          <w:p w14:paraId="121FBEB8">
            <w:pPr>
              <w:shd w:val="clear"/>
              <w:spacing w:line="560" w:lineRule="exact"/>
              <w:rPr>
                <w:rFonts w:hint="eastAsia" w:ascii="仿宋" w:hAnsi="仿宋" w:eastAsia="仿宋" w:cs="仿宋"/>
                <w:color w:val="auto"/>
                <w:sz w:val="32"/>
                <w:szCs w:val="32"/>
                <w:highlight w:val="none"/>
              </w:rPr>
            </w:pPr>
          </w:p>
        </w:tc>
      </w:tr>
      <w:tr w14:paraId="08B4D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noWrap w:val="0"/>
            <w:vAlign w:val="top"/>
          </w:tcPr>
          <w:p w14:paraId="0FE0170F">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开户账号</w:t>
            </w:r>
          </w:p>
        </w:tc>
        <w:tc>
          <w:tcPr>
            <w:tcW w:w="5868" w:type="dxa"/>
            <w:gridSpan w:val="4"/>
            <w:noWrap w:val="0"/>
            <w:vAlign w:val="top"/>
          </w:tcPr>
          <w:p w14:paraId="7B366411">
            <w:pPr>
              <w:shd w:val="clear"/>
              <w:spacing w:line="560" w:lineRule="exact"/>
              <w:rPr>
                <w:rFonts w:hint="eastAsia" w:ascii="仿宋" w:hAnsi="仿宋" w:eastAsia="仿宋" w:cs="仿宋"/>
                <w:color w:val="auto"/>
                <w:sz w:val="32"/>
                <w:szCs w:val="32"/>
                <w:highlight w:val="none"/>
              </w:rPr>
            </w:pPr>
          </w:p>
        </w:tc>
      </w:tr>
      <w:tr w14:paraId="72391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9" w:type="dxa"/>
            <w:vMerge w:val="restart"/>
            <w:shd w:val="clear" w:color="auto" w:fill="auto"/>
            <w:noWrap w:val="0"/>
            <w:vAlign w:val="center"/>
          </w:tcPr>
          <w:p w14:paraId="29148CB8">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乙</w:t>
            </w:r>
            <w:r>
              <w:rPr>
                <w:rFonts w:hint="eastAsia" w:ascii="仿宋" w:hAnsi="仿宋" w:eastAsia="仿宋" w:cs="仿宋"/>
                <w:color w:val="auto"/>
                <w:sz w:val="32"/>
                <w:szCs w:val="32"/>
                <w:highlight w:val="none"/>
              </w:rPr>
              <w:t>方联络人信息</w:t>
            </w:r>
          </w:p>
        </w:tc>
        <w:tc>
          <w:tcPr>
            <w:tcW w:w="1098" w:type="dxa"/>
            <w:noWrap w:val="0"/>
            <w:vAlign w:val="center"/>
          </w:tcPr>
          <w:p w14:paraId="49204E28">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姓名</w:t>
            </w:r>
          </w:p>
        </w:tc>
        <w:tc>
          <w:tcPr>
            <w:tcW w:w="1803" w:type="dxa"/>
            <w:noWrap w:val="0"/>
            <w:vAlign w:val="center"/>
          </w:tcPr>
          <w:p w14:paraId="52C6031D">
            <w:pPr>
              <w:shd w:val="clear"/>
              <w:spacing w:line="560" w:lineRule="exact"/>
              <w:jc w:val="left"/>
              <w:rPr>
                <w:rFonts w:hint="eastAsia" w:ascii="仿宋" w:hAnsi="仿宋" w:eastAsia="仿宋" w:cs="仿宋"/>
                <w:color w:val="auto"/>
                <w:sz w:val="32"/>
                <w:szCs w:val="32"/>
                <w:highlight w:val="none"/>
              </w:rPr>
            </w:pPr>
          </w:p>
        </w:tc>
        <w:tc>
          <w:tcPr>
            <w:tcW w:w="912" w:type="dxa"/>
            <w:noWrap w:val="0"/>
            <w:vAlign w:val="center"/>
          </w:tcPr>
          <w:p w14:paraId="19618AC9">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电话</w:t>
            </w:r>
          </w:p>
        </w:tc>
        <w:tc>
          <w:tcPr>
            <w:tcW w:w="2055" w:type="dxa"/>
            <w:noWrap w:val="0"/>
            <w:vAlign w:val="top"/>
          </w:tcPr>
          <w:p w14:paraId="29151D8B">
            <w:pPr>
              <w:shd w:val="clear"/>
              <w:spacing w:line="560" w:lineRule="exact"/>
              <w:jc w:val="left"/>
              <w:rPr>
                <w:rFonts w:hint="eastAsia" w:ascii="仿宋" w:hAnsi="仿宋" w:eastAsia="仿宋" w:cs="仿宋"/>
                <w:color w:val="auto"/>
                <w:sz w:val="32"/>
                <w:szCs w:val="32"/>
                <w:highlight w:val="none"/>
              </w:rPr>
            </w:pPr>
          </w:p>
        </w:tc>
      </w:tr>
      <w:tr w14:paraId="60138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129" w:type="dxa"/>
            <w:vMerge w:val="continue"/>
            <w:shd w:val="clear" w:color="auto" w:fill="auto"/>
            <w:noWrap w:val="0"/>
            <w:vAlign w:val="top"/>
          </w:tcPr>
          <w:p w14:paraId="55450E0D">
            <w:pPr>
              <w:shd w:val="clear"/>
              <w:spacing w:line="560" w:lineRule="exact"/>
              <w:jc w:val="left"/>
              <w:rPr>
                <w:rFonts w:hint="eastAsia" w:ascii="仿宋" w:hAnsi="仿宋" w:eastAsia="仿宋" w:cs="仿宋"/>
                <w:color w:val="auto"/>
                <w:sz w:val="32"/>
                <w:szCs w:val="32"/>
                <w:highlight w:val="none"/>
              </w:rPr>
            </w:pPr>
          </w:p>
        </w:tc>
        <w:tc>
          <w:tcPr>
            <w:tcW w:w="1098" w:type="dxa"/>
            <w:noWrap w:val="0"/>
            <w:vAlign w:val="center"/>
          </w:tcPr>
          <w:p w14:paraId="7BF04F9E">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邮箱</w:t>
            </w:r>
          </w:p>
        </w:tc>
        <w:tc>
          <w:tcPr>
            <w:tcW w:w="1803" w:type="dxa"/>
            <w:noWrap w:val="0"/>
            <w:vAlign w:val="center"/>
          </w:tcPr>
          <w:p w14:paraId="35C9E822">
            <w:pPr>
              <w:shd w:val="clear"/>
              <w:spacing w:line="560" w:lineRule="exact"/>
              <w:jc w:val="left"/>
              <w:rPr>
                <w:rFonts w:hint="eastAsia" w:ascii="仿宋" w:hAnsi="仿宋" w:eastAsia="仿宋" w:cs="仿宋"/>
                <w:color w:val="auto"/>
                <w:sz w:val="32"/>
                <w:szCs w:val="32"/>
                <w:highlight w:val="none"/>
              </w:rPr>
            </w:pPr>
          </w:p>
        </w:tc>
        <w:tc>
          <w:tcPr>
            <w:tcW w:w="912" w:type="dxa"/>
            <w:noWrap w:val="0"/>
            <w:vAlign w:val="center"/>
          </w:tcPr>
          <w:p w14:paraId="2DD0EB3C">
            <w:pPr>
              <w:shd w:val="clear"/>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传真</w:t>
            </w:r>
          </w:p>
        </w:tc>
        <w:tc>
          <w:tcPr>
            <w:tcW w:w="2055" w:type="dxa"/>
            <w:noWrap w:val="0"/>
            <w:vAlign w:val="top"/>
          </w:tcPr>
          <w:p w14:paraId="22742210">
            <w:pPr>
              <w:shd w:val="clear"/>
              <w:spacing w:line="560" w:lineRule="exact"/>
              <w:jc w:val="left"/>
              <w:rPr>
                <w:rFonts w:hint="eastAsia" w:ascii="仿宋" w:hAnsi="仿宋" w:eastAsia="仿宋" w:cs="仿宋"/>
                <w:color w:val="auto"/>
                <w:sz w:val="32"/>
                <w:szCs w:val="32"/>
                <w:highlight w:val="none"/>
              </w:rPr>
            </w:pPr>
          </w:p>
        </w:tc>
      </w:tr>
    </w:tbl>
    <w:p w14:paraId="50D9FC67">
      <w:pPr>
        <w:pStyle w:val="6"/>
        <w:shd w:val="clear"/>
        <w:rPr>
          <w:rFonts w:hint="eastAsia" w:ascii="仿宋" w:hAnsi="仿宋" w:eastAsia="仿宋" w:cs="仿宋"/>
          <w:b w:val="0"/>
          <w:color w:val="auto"/>
          <w:kern w:val="2"/>
          <w:sz w:val="32"/>
          <w:szCs w:val="32"/>
          <w:highlight w:val="none"/>
        </w:rPr>
      </w:pPr>
    </w:p>
    <w:p w14:paraId="593E7EC0">
      <w:pPr>
        <w:keepNext w:val="0"/>
        <w:keepLines w:val="0"/>
        <w:pageBreakBefore w:val="0"/>
        <w:shd w:val="clear"/>
        <w:kinsoku/>
        <w:overflowPunct/>
        <w:topLinePunct w:val="0"/>
        <w:autoSpaceDE/>
        <w:autoSpaceDN/>
        <w:bidi w:val="0"/>
        <w:adjustRightInd/>
        <w:snapToGrid/>
        <w:spacing w:beforeAutospacing="0" w:afterAutospacing="0"/>
        <w:ind w:left="0" w:leftChars="0" w:right="0" w:rightChars="0" w:firstLine="0" w:firstLineChars="0"/>
        <w:textAlignment w:val="auto"/>
        <w:rPr>
          <w:rFonts w:hint="eastAsia" w:ascii="仿宋" w:hAnsi="仿宋" w:eastAsia="仿宋" w:cs="仿宋"/>
          <w:color w:val="auto"/>
          <w:sz w:val="21"/>
          <w:szCs w:val="21"/>
          <w:highlight w:val="none"/>
        </w:rPr>
        <w:sectPr>
          <w:pgSz w:w="11906" w:h="16838"/>
          <w:pgMar w:top="1440" w:right="1800" w:bottom="1440" w:left="1800" w:header="851" w:footer="992" w:gutter="0"/>
          <w:pgNumType w:start="1"/>
          <w:cols w:space="720" w:num="1"/>
          <w:docGrid w:type="lines" w:linePitch="312" w:charSpace="0"/>
        </w:sectPr>
      </w:pPr>
    </w:p>
    <w:p w14:paraId="64DC31A2">
      <w:pPr>
        <w:keepNext w:val="0"/>
        <w:keepLines w:val="0"/>
        <w:pageBreakBefore w:val="0"/>
        <w:shd w:val="clear"/>
        <w:kinsoku/>
        <w:overflowPunct/>
        <w:topLinePunct w:val="0"/>
        <w:autoSpaceDE/>
        <w:autoSpaceDN/>
        <w:bidi w:val="0"/>
        <w:adjustRightInd/>
        <w:snapToGrid/>
        <w:spacing w:beforeAutospacing="0" w:afterAutospacing="0"/>
        <w:ind w:left="0" w:leftChars="0" w:right="0" w:rightChars="0" w:firstLine="0" w:firstLineChars="0"/>
        <w:textAlignment w:val="auto"/>
        <w:rPr>
          <w:rFonts w:hint="eastAsia" w:ascii="仿宋" w:hAnsi="仿宋" w:eastAsia="仿宋" w:cs="仿宋"/>
          <w:color w:val="auto"/>
          <w:sz w:val="21"/>
          <w:szCs w:val="21"/>
          <w:highlight w:val="none"/>
        </w:rPr>
      </w:pPr>
    </w:p>
    <w:p w14:paraId="4671DE36">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right="0" w:rightChars="0"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为明确甲乙双方的权</w:t>
      </w:r>
      <w:r>
        <w:rPr>
          <w:rFonts w:hint="eastAsia" w:ascii="仿宋" w:hAnsi="仿宋" w:eastAsia="仿宋" w:cs="仿宋"/>
          <w:color w:val="auto"/>
          <w:sz w:val="32"/>
          <w:szCs w:val="32"/>
          <w:highlight w:val="none"/>
          <w:lang w:val="en-US" w:eastAsia="zh-Hans"/>
        </w:rPr>
        <w:t>利</w:t>
      </w:r>
      <w:r>
        <w:rPr>
          <w:rFonts w:hint="eastAsia" w:ascii="仿宋" w:hAnsi="仿宋" w:eastAsia="仿宋" w:cs="仿宋"/>
          <w:color w:val="auto"/>
          <w:sz w:val="32"/>
          <w:szCs w:val="32"/>
          <w:highlight w:val="none"/>
          <w:lang w:eastAsia="zh-CN"/>
        </w:rPr>
        <w:t>和义务，本着平等自愿的原则，依据《中华人民共和国民法典》，</w:t>
      </w:r>
      <w:r>
        <w:rPr>
          <w:rFonts w:hint="eastAsia" w:ascii="仿宋" w:hAnsi="仿宋" w:eastAsia="仿宋" w:cs="仿宋"/>
          <w:color w:val="auto"/>
          <w:sz w:val="32"/>
          <w:szCs w:val="32"/>
          <w:highlight w:val="none"/>
        </w:rPr>
        <w:t>经双方协商一致，签订以下条款共同遵守。</w:t>
      </w:r>
    </w:p>
    <w:p w14:paraId="0567A0D8">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val="en-US" w:eastAsia="zh-CN"/>
        </w:rPr>
        <w:t>一、</w:t>
      </w:r>
      <w:r>
        <w:rPr>
          <w:rFonts w:hint="eastAsia" w:ascii="黑体" w:hAnsi="黑体" w:eastAsia="黑体" w:cs="黑体"/>
          <w:b w:val="0"/>
          <w:bCs w:val="0"/>
          <w:color w:val="auto"/>
          <w:sz w:val="32"/>
          <w:szCs w:val="32"/>
          <w:highlight w:val="none"/>
          <w:lang w:eastAsia="zh-CN"/>
        </w:rPr>
        <w:t>履行期限、</w:t>
      </w:r>
      <w:r>
        <w:rPr>
          <w:rFonts w:hint="eastAsia" w:ascii="黑体" w:hAnsi="黑体" w:eastAsia="黑体" w:cs="黑体"/>
          <w:b w:val="0"/>
          <w:bCs w:val="0"/>
          <w:color w:val="auto"/>
          <w:sz w:val="32"/>
          <w:szCs w:val="32"/>
          <w:highlight w:val="none"/>
        </w:rPr>
        <w:t>数量及交货地点</w:t>
      </w:r>
    </w:p>
    <w:p w14:paraId="28D2F5D0">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1.1 本合同执行期为：</w:t>
      </w:r>
      <w:r>
        <w:rPr>
          <w:rFonts w:hint="eastAsia" w:ascii="仿宋" w:hAnsi="仿宋" w:eastAsia="仿宋" w:cs="仿宋"/>
          <w:color w:val="auto"/>
          <w:sz w:val="32"/>
          <w:szCs w:val="32"/>
          <w:highlight w:val="none"/>
        </w:rPr>
        <w:t>自</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月</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日</w:t>
      </w:r>
      <w:r>
        <w:rPr>
          <w:rFonts w:hint="eastAsia" w:ascii="仿宋" w:hAnsi="仿宋" w:eastAsia="仿宋" w:cs="仿宋"/>
          <w:color w:val="auto"/>
          <w:sz w:val="32"/>
          <w:szCs w:val="32"/>
          <w:highlight w:val="none"/>
        </w:rPr>
        <w:t>至</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日</w:t>
      </w:r>
    </w:p>
    <w:p w14:paraId="50DA0731">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1.2 </w:t>
      </w:r>
      <w:r>
        <w:rPr>
          <w:rFonts w:hint="eastAsia" w:ascii="仿宋" w:hAnsi="仿宋" w:eastAsia="仿宋" w:cs="仿宋"/>
          <w:color w:val="auto"/>
          <w:sz w:val="32"/>
          <w:szCs w:val="32"/>
          <w:highlight w:val="none"/>
        </w:rPr>
        <w:t>甲方</w:t>
      </w:r>
      <w:r>
        <w:rPr>
          <w:rFonts w:hint="eastAsia" w:ascii="仿宋" w:hAnsi="仿宋" w:eastAsia="仿宋" w:cs="仿宋"/>
          <w:color w:val="auto"/>
          <w:sz w:val="32"/>
          <w:szCs w:val="32"/>
          <w:highlight w:val="none"/>
          <w:lang w:val="en-US" w:eastAsia="zh-CN"/>
        </w:rPr>
        <w:t>所需</w:t>
      </w:r>
      <w:r>
        <w:rPr>
          <w:rFonts w:hint="eastAsia" w:ascii="仿宋" w:hAnsi="仿宋" w:eastAsia="仿宋" w:cs="仿宋"/>
          <w:color w:val="auto"/>
          <w:sz w:val="32"/>
          <w:szCs w:val="32"/>
          <w:highlight w:val="none"/>
          <w:lang w:eastAsia="zh-CN"/>
        </w:rPr>
        <w:t>煤炭</w:t>
      </w:r>
      <w:r>
        <w:rPr>
          <w:rFonts w:hint="eastAsia" w:ascii="仿宋" w:hAnsi="仿宋" w:eastAsia="仿宋" w:cs="仿宋"/>
          <w:color w:val="auto"/>
          <w:sz w:val="32"/>
          <w:szCs w:val="32"/>
          <w:highlight w:val="none"/>
          <w:lang w:val="en-US" w:eastAsia="zh-CN"/>
        </w:rPr>
        <w:t>预估</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万吨</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实际数量以结算数量为准</w:t>
      </w:r>
      <w:r>
        <w:rPr>
          <w:rFonts w:hint="eastAsia" w:ascii="仿宋" w:hAnsi="仿宋" w:eastAsia="仿宋" w:cs="仿宋"/>
          <w:color w:val="auto"/>
          <w:sz w:val="32"/>
          <w:szCs w:val="32"/>
          <w:highlight w:val="none"/>
        </w:rPr>
        <w:t>。由</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发货，乙方负责</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运输到厂，收货单位</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，交货地点</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w:t>
      </w:r>
    </w:p>
    <w:p w14:paraId="22770DF0">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1.3</w:t>
      </w:r>
      <w:r>
        <w:rPr>
          <w:rFonts w:hint="eastAsia" w:ascii="仿宋" w:hAnsi="仿宋" w:eastAsia="仿宋" w:cs="仿宋"/>
          <w:color w:val="auto"/>
          <w:sz w:val="32"/>
          <w:szCs w:val="32"/>
          <w:highlight w:val="none"/>
        </w:rPr>
        <w:t>具体调运</w:t>
      </w:r>
      <w:r>
        <w:rPr>
          <w:rFonts w:hint="eastAsia" w:ascii="仿宋" w:hAnsi="仿宋" w:eastAsia="仿宋" w:cs="仿宋"/>
          <w:color w:val="auto"/>
          <w:sz w:val="32"/>
          <w:szCs w:val="32"/>
          <w:highlight w:val="none"/>
          <w:lang w:val="en-US" w:eastAsia="zh-CN"/>
        </w:rPr>
        <w:t>时间、</w:t>
      </w:r>
      <w:r>
        <w:rPr>
          <w:rFonts w:hint="eastAsia" w:ascii="仿宋" w:hAnsi="仿宋" w:eastAsia="仿宋" w:cs="仿宋"/>
          <w:color w:val="auto"/>
          <w:sz w:val="32"/>
          <w:szCs w:val="32"/>
          <w:highlight w:val="none"/>
        </w:rPr>
        <w:t>数量以甲方通知为准，乙方要严格执行甲方</w:t>
      </w:r>
      <w:r>
        <w:rPr>
          <w:rFonts w:hint="eastAsia" w:ascii="仿宋" w:hAnsi="仿宋" w:eastAsia="仿宋" w:cs="仿宋"/>
          <w:color w:val="auto"/>
          <w:sz w:val="32"/>
          <w:szCs w:val="32"/>
          <w:highlight w:val="none"/>
          <w:lang w:val="en-US" w:eastAsia="zh-CN"/>
        </w:rPr>
        <w:t>发出</w:t>
      </w:r>
      <w:r>
        <w:rPr>
          <w:rFonts w:hint="eastAsia" w:ascii="仿宋" w:hAnsi="仿宋" w:eastAsia="仿宋" w:cs="仿宋"/>
          <w:color w:val="auto"/>
          <w:sz w:val="32"/>
          <w:szCs w:val="32"/>
          <w:highlight w:val="none"/>
        </w:rPr>
        <w:t>的调运</w:t>
      </w:r>
      <w:r>
        <w:rPr>
          <w:rFonts w:hint="eastAsia" w:ascii="仿宋" w:hAnsi="仿宋" w:eastAsia="仿宋" w:cs="仿宋"/>
          <w:color w:val="auto"/>
          <w:sz w:val="32"/>
          <w:szCs w:val="32"/>
          <w:highlight w:val="none"/>
          <w:lang w:val="en-US" w:eastAsia="zh-CN"/>
        </w:rPr>
        <w:t>通知</w:t>
      </w:r>
      <w:r>
        <w:rPr>
          <w:rFonts w:hint="eastAsia" w:ascii="仿宋" w:hAnsi="仿宋" w:eastAsia="仿宋" w:cs="仿宋"/>
          <w:color w:val="auto"/>
          <w:sz w:val="32"/>
          <w:szCs w:val="32"/>
          <w:highlight w:val="none"/>
        </w:rPr>
        <w:t>。</w:t>
      </w:r>
    </w:p>
    <w:p w14:paraId="0659D7B7">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二、质量要求</w:t>
      </w:r>
    </w:p>
    <w:tbl>
      <w:tblPr>
        <w:tblStyle w:val="10"/>
        <w:tblpPr w:leftFromText="180" w:rightFromText="180" w:vertAnchor="text" w:horzAnchor="page" w:tblpX="1644" w:tblpY="108"/>
        <w:tblOverlap w:val="never"/>
        <w:tblW w:w="9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7"/>
        <w:gridCol w:w="1706"/>
        <w:gridCol w:w="3120"/>
        <w:gridCol w:w="1374"/>
      </w:tblGrid>
      <w:tr w14:paraId="03E5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2827" w:type="dxa"/>
            <w:tcBorders>
              <w:bottom w:val="single" w:color="auto" w:sz="4" w:space="0"/>
              <w:tl2br w:val="nil"/>
              <w:tr2bl w:val="nil"/>
            </w:tcBorders>
            <w:noWrap w:val="0"/>
            <w:vAlign w:val="top"/>
          </w:tcPr>
          <w:p w14:paraId="16DEDCE3">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指标</w:t>
            </w:r>
          </w:p>
        </w:tc>
        <w:tc>
          <w:tcPr>
            <w:tcW w:w="1706" w:type="dxa"/>
            <w:tcBorders>
              <w:bottom w:val="single" w:color="auto" w:sz="4" w:space="0"/>
              <w:tl2br w:val="nil"/>
              <w:tr2bl w:val="nil"/>
            </w:tcBorders>
            <w:noWrap w:val="0"/>
            <w:vAlign w:val="top"/>
          </w:tcPr>
          <w:p w14:paraId="1C033071">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符号</w:t>
            </w:r>
          </w:p>
        </w:tc>
        <w:tc>
          <w:tcPr>
            <w:tcW w:w="3120" w:type="dxa"/>
            <w:tcBorders>
              <w:bottom w:val="single" w:color="auto" w:sz="4" w:space="0"/>
              <w:tl2br w:val="nil"/>
              <w:tr2bl w:val="nil"/>
            </w:tcBorders>
            <w:noWrap w:val="0"/>
            <w:vAlign w:val="top"/>
          </w:tcPr>
          <w:p w14:paraId="34EB6AF5">
            <w:pPr>
              <w:shd w:val="clear"/>
              <w:snapToGrid w:val="0"/>
              <w:spacing w:line="240" w:lineRule="auto"/>
              <w:jc w:val="center"/>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指标要求</w:t>
            </w:r>
          </w:p>
        </w:tc>
        <w:tc>
          <w:tcPr>
            <w:tcW w:w="1374" w:type="dxa"/>
            <w:tcBorders>
              <w:bottom w:val="single" w:color="auto" w:sz="4" w:space="0"/>
              <w:tl2br w:val="nil"/>
              <w:tr2bl w:val="nil"/>
            </w:tcBorders>
            <w:noWrap w:val="0"/>
            <w:vAlign w:val="top"/>
          </w:tcPr>
          <w:p w14:paraId="5D3CCD60">
            <w:pPr>
              <w:shd w:val="clear"/>
              <w:snapToGrid w:val="0"/>
              <w:spacing w:line="240" w:lineRule="auto"/>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rPr>
              <w:t>单位</w:t>
            </w:r>
          </w:p>
        </w:tc>
      </w:tr>
      <w:tr w14:paraId="57F9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9A29E8">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rPr>
              <w:t>收到基低位发热量</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B444EB">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rPr>
              <w:t>Qnet,ar</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CC55F3">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u w:val="single"/>
                <w:lang w:val="en-US" w:eastAsia="zh-CN"/>
              </w:rPr>
              <w:t>17.5</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447B91">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sz w:val="28"/>
                <w:szCs w:val="28"/>
                <w:highlight w:val="none"/>
                <w:lang w:eastAsia="zh-CN"/>
              </w:rPr>
            </w:pPr>
            <w:r>
              <w:rPr>
                <w:rFonts w:hint="eastAsia" w:ascii="仿宋" w:hAnsi="仿宋" w:eastAsia="仿宋" w:cs="仿宋"/>
                <w:b w:val="0"/>
                <w:bCs w:val="0"/>
                <w:color w:val="auto"/>
                <w:sz w:val="28"/>
                <w:szCs w:val="28"/>
                <w:highlight w:val="none"/>
                <w:lang w:val="en-US" w:eastAsia="zh-CN"/>
              </w:rPr>
              <w:t>MJ</w:t>
            </w:r>
            <w:r>
              <w:rPr>
                <w:rFonts w:hint="eastAsia" w:ascii="仿宋" w:hAnsi="仿宋" w:eastAsia="仿宋" w:cs="仿宋"/>
                <w:b w:val="0"/>
                <w:bCs w:val="0"/>
                <w:color w:val="auto"/>
                <w:sz w:val="28"/>
                <w:szCs w:val="28"/>
                <w:highlight w:val="none"/>
              </w:rPr>
              <w:t>/kg</w:t>
            </w:r>
          </w:p>
        </w:tc>
      </w:tr>
      <w:tr w14:paraId="203D0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C46A57">
            <w:pPr>
              <w:keepNext w:val="0"/>
              <w:keepLines w:val="0"/>
              <w:pageBreakBefore w:val="0"/>
              <w:widowControl/>
              <w:shd w:val="clear"/>
              <w:kinsoku/>
              <w:wordWrap/>
              <w:overflowPunct/>
              <w:topLinePunct w:val="0"/>
              <w:autoSpaceDE/>
              <w:autoSpaceDN/>
              <w:bidi w:val="0"/>
              <w:adjustRightInd/>
              <w:snapToGrid/>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干燥基全硫</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6651B5">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St,d</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68814B">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0.8</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889F24">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w:t>
            </w:r>
          </w:p>
        </w:tc>
      </w:tr>
      <w:tr w14:paraId="171BA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656970">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收到基全水分</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524540">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Mt</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65527C">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19</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F358C0">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u w:val="none"/>
                <w:lang w:val="en-US" w:eastAsia="zh-CN"/>
              </w:rPr>
              <w:t>%</w:t>
            </w:r>
          </w:p>
        </w:tc>
      </w:tr>
      <w:tr w14:paraId="02550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A1BBE0">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rPr>
              <w:t>粒度</w:t>
            </w:r>
          </w:p>
        </w:tc>
        <w:tc>
          <w:tcPr>
            <w:tcW w:w="170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D20C29">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lang w:val="en-US" w:eastAsia="zh-CN"/>
              </w:rPr>
              <w:t>ɸ</w:t>
            </w:r>
          </w:p>
        </w:tc>
        <w:tc>
          <w:tcPr>
            <w:tcW w:w="312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846B4F">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default" w:ascii="仿宋" w:hAnsi="仿宋" w:eastAsia="仿宋" w:cs="仿宋"/>
                <w:b w:val="0"/>
                <w:bCs w:val="0"/>
                <w:color w:val="auto"/>
                <w:kern w:val="2"/>
                <w:sz w:val="28"/>
                <w:szCs w:val="28"/>
                <w:highlight w:val="none"/>
                <w:u w:val="none"/>
                <w:lang w:val="en-US" w:eastAsia="zh-CN" w:bidi="ar-SA"/>
              </w:rPr>
            </w:pP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50</w:t>
            </w:r>
          </w:p>
        </w:tc>
        <w:tc>
          <w:tcPr>
            <w:tcW w:w="1374"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268AFE">
            <w:pPr>
              <w:keepNext w:val="0"/>
              <w:keepLines w:val="0"/>
              <w:pageBreakBefore w:val="0"/>
              <w:widowControl w:val="0"/>
              <w:shd w:val="clear"/>
              <w:kinsoku/>
              <w:wordWrap/>
              <w:overflowPunct/>
              <w:topLinePunct w:val="0"/>
              <w:autoSpaceDE/>
              <w:autoSpaceDN/>
              <w:bidi w:val="0"/>
              <w:adjustRightInd/>
              <w:snapToGrid w:val="0"/>
              <w:spacing w:line="240" w:lineRule="auto"/>
              <w:jc w:val="center"/>
              <w:textAlignment w:val="auto"/>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sz w:val="28"/>
                <w:szCs w:val="28"/>
                <w:highlight w:val="none"/>
                <w:lang w:val="en-US" w:eastAsia="zh-CN"/>
              </w:rPr>
              <w:t>mm</w:t>
            </w:r>
          </w:p>
        </w:tc>
      </w:tr>
    </w:tbl>
    <w:p w14:paraId="307F0E04">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lang w:eastAsia="zh-CN"/>
        </w:rPr>
      </w:pPr>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val="en-US" w:eastAsia="zh-CN"/>
        </w:rPr>
        <w:t>价格</w:t>
      </w:r>
    </w:p>
    <w:p w14:paraId="7BAE45DE">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Hans"/>
        </w:rPr>
        <w:t>双方约定，</w:t>
      </w:r>
      <w:r>
        <w:rPr>
          <w:rFonts w:hint="eastAsia" w:ascii="仿宋" w:hAnsi="仿宋" w:eastAsia="仿宋" w:cs="仿宋"/>
          <w:color w:val="auto"/>
          <w:sz w:val="32"/>
          <w:szCs w:val="32"/>
          <w:highlight w:val="none"/>
          <w:lang w:val="en-US" w:eastAsia="zh-CN"/>
        </w:rPr>
        <w:t>合同单价</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rPr>
        <w:t>元/吨（含13%的增值税</w:t>
      </w:r>
      <w:r>
        <w:rPr>
          <w:rFonts w:hint="eastAsia" w:ascii="仿宋" w:hAnsi="仿宋" w:eastAsia="仿宋" w:cs="仿宋"/>
          <w:color w:val="auto"/>
          <w:sz w:val="32"/>
          <w:szCs w:val="32"/>
          <w:highlight w:val="none"/>
          <w:lang w:val="en-US" w:eastAsia="zh-CN"/>
        </w:rPr>
        <w:t>,其中不含税价</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元/吨，增值税额</w:t>
      </w:r>
      <w:r>
        <w:rPr>
          <w:rFonts w:hint="eastAsia" w:ascii="仿宋" w:hAnsi="仿宋" w:eastAsia="仿宋" w:cs="仿宋"/>
          <w:color w:val="auto"/>
          <w:sz w:val="32"/>
          <w:szCs w:val="32"/>
          <w:highlight w:val="none"/>
          <w:u w:val="single"/>
          <w:lang w:val="en-US" w:eastAsia="zh-CN"/>
        </w:rPr>
        <w:t xml:space="preserve">       </w:t>
      </w:r>
      <w:r>
        <w:rPr>
          <w:rFonts w:hint="eastAsia" w:ascii="仿宋" w:hAnsi="仿宋" w:eastAsia="仿宋" w:cs="仿宋"/>
          <w:color w:val="auto"/>
          <w:sz w:val="32"/>
          <w:szCs w:val="32"/>
          <w:highlight w:val="none"/>
          <w:lang w:val="en-US" w:eastAsia="zh-CN"/>
        </w:rPr>
        <w:t>元/吨，</w:t>
      </w:r>
      <w:r>
        <w:rPr>
          <w:rFonts w:hint="eastAsia" w:ascii="仿宋" w:hAnsi="仿宋" w:eastAsia="仿宋" w:cs="仿宋"/>
          <w:color w:val="auto"/>
          <w:sz w:val="32"/>
          <w:szCs w:val="32"/>
          <w:highlight w:val="none"/>
        </w:rPr>
        <w:t>若国家税率发生变化时，不含税价格不变，</w:t>
      </w:r>
      <w:r>
        <w:rPr>
          <w:rFonts w:hint="eastAsia" w:ascii="仿宋" w:hAnsi="仿宋" w:eastAsia="仿宋" w:cs="仿宋"/>
          <w:color w:val="auto"/>
          <w:sz w:val="32"/>
          <w:szCs w:val="32"/>
          <w:highlight w:val="none"/>
          <w:lang w:val="en-US" w:eastAsia="zh-Hans"/>
        </w:rPr>
        <w:t>税金按变更后税率计算</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以上单价为符合本合同煤质要求的煤炭基准价格，不作为最终结算单价，如果煤质不符合约定，乙方无权主张按以上单价结算。</w:t>
      </w:r>
    </w:p>
    <w:p w14:paraId="6F1C4C08">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四、计价方式</w:t>
      </w:r>
    </w:p>
    <w:p w14:paraId="2FE0C0B1">
      <w:pPr>
        <w:keepNext w:val="0"/>
        <w:keepLines w:val="0"/>
        <w:pageBreakBefore w:val="0"/>
        <w:widowControl w:val="0"/>
        <w:shd w:val="clear"/>
        <w:kinsoku/>
        <w:wordWrap/>
        <w:overflowPunct/>
        <w:topLinePunct w:val="0"/>
        <w:autoSpaceDE/>
        <w:autoSpaceDN/>
        <w:bidi w:val="0"/>
        <w:adjustRightInd/>
        <w:snapToGrid/>
        <w:spacing w:beforeAutospacing="0" w:afterAutospacing="0" w:line="560" w:lineRule="exact"/>
        <w:ind w:left="0" w:leftChars="0" w:right="0" w:rightChars="0" w:firstLine="643" w:firstLineChars="200"/>
        <w:jc w:val="left"/>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4.1 </w:t>
      </w:r>
      <w:r>
        <w:rPr>
          <w:rFonts w:hint="eastAsia" w:ascii="仿宋" w:hAnsi="仿宋" w:eastAsia="仿宋" w:cs="仿宋"/>
          <w:b/>
          <w:bCs/>
          <w:color w:val="auto"/>
          <w:sz w:val="32"/>
          <w:szCs w:val="32"/>
          <w:highlight w:val="none"/>
        </w:rPr>
        <w:t>煤炭结算采用</w:t>
      </w:r>
      <w:r>
        <w:rPr>
          <w:rFonts w:hint="eastAsia" w:ascii="仿宋" w:hAnsi="仿宋" w:eastAsia="仿宋" w:cs="仿宋"/>
          <w:b/>
          <w:bCs/>
          <w:color w:val="auto"/>
          <w:sz w:val="32"/>
          <w:szCs w:val="32"/>
          <w:highlight w:val="none"/>
          <w:lang w:val="en-US" w:eastAsia="zh-CN"/>
        </w:rPr>
        <w:t>以下方式</w:t>
      </w:r>
      <w:r>
        <w:rPr>
          <w:rFonts w:hint="eastAsia" w:ascii="仿宋" w:hAnsi="仿宋" w:eastAsia="仿宋" w:cs="仿宋"/>
          <w:b/>
          <w:bCs/>
          <w:color w:val="auto"/>
          <w:sz w:val="32"/>
          <w:szCs w:val="32"/>
          <w:highlight w:val="none"/>
        </w:rPr>
        <w:t>确定：</w:t>
      </w:r>
    </w:p>
    <w:p w14:paraId="72864787">
      <w:pPr>
        <w:keepNext w:val="0"/>
        <w:keepLines w:val="0"/>
        <w:pageBreakBefore w:val="0"/>
        <w:widowControl w:val="0"/>
        <w:shd w:val="clear" w:fill="FFFFFF" w:themeFill="background1"/>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lang w:val="en-US" w:eastAsia="zh-CN"/>
        </w:rPr>
        <w:t>结算金额</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基准价格+质量调整价</w:t>
      </w:r>
      <w:r>
        <w:rPr>
          <w:rFonts w:hint="eastAsia" w:ascii="仿宋" w:hAnsi="仿宋" w:eastAsia="仿宋" w:cs="仿宋"/>
          <w:color w:val="auto"/>
          <w:sz w:val="32"/>
          <w:szCs w:val="32"/>
          <w:highlight w:val="none"/>
          <w:u w:val="none"/>
          <w:lang w:eastAsia="zh-CN"/>
        </w:rPr>
        <w:t>）</w:t>
      </w:r>
      <w:r>
        <w:rPr>
          <w:rFonts w:hint="default" w:ascii="仿宋" w:hAnsi="仿宋" w:eastAsia="仿宋" w:cs="仿宋"/>
          <w:color w:val="auto"/>
          <w:sz w:val="32"/>
          <w:szCs w:val="32"/>
          <w:highlight w:val="none"/>
          <w:u w:val="none"/>
          <w:lang w:val="en-US" w:eastAsia="zh-CN"/>
        </w:rPr>
        <w:t>×</w:t>
      </w:r>
      <w:r>
        <w:rPr>
          <w:rFonts w:hint="eastAsia" w:ascii="仿宋" w:hAnsi="仿宋" w:eastAsia="仿宋" w:cs="仿宋"/>
          <w:color w:val="auto"/>
          <w:sz w:val="32"/>
          <w:szCs w:val="32"/>
          <w:highlight w:val="none"/>
          <w:u w:val="none"/>
          <w:lang w:val="en-US" w:eastAsia="zh-CN"/>
        </w:rPr>
        <w:t>结算数量-质量考核金额-履约率考核金额-其他因素考核金额，直至煤款扣完为止。</w:t>
      </w:r>
    </w:p>
    <w:p w14:paraId="54074D74">
      <w:pPr>
        <w:keepNext w:val="0"/>
        <w:keepLines w:val="0"/>
        <w:pageBreakBefore w:val="0"/>
        <w:widowControl w:val="0"/>
        <w:shd w:val="clear" w:fill="FFFFFF" w:themeFill="background1"/>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val="en-US" w:eastAsia="zh-CN"/>
        </w:rPr>
        <w:t xml:space="preserve">4.1.1 </w:t>
      </w:r>
      <w:r>
        <w:rPr>
          <w:rFonts w:hint="eastAsia" w:ascii="仿宋" w:hAnsi="仿宋" w:eastAsia="仿宋" w:cs="仿宋"/>
          <w:b/>
          <w:bCs/>
          <w:color w:val="auto"/>
          <w:sz w:val="32"/>
          <w:szCs w:val="32"/>
          <w:highlight w:val="none"/>
        </w:rPr>
        <w:t>基准价格</w:t>
      </w:r>
    </w:p>
    <w:tbl>
      <w:tblPr>
        <w:tblStyle w:val="11"/>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8"/>
        <w:gridCol w:w="4043"/>
      </w:tblGrid>
      <w:tr w14:paraId="371A4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5578" w:type="dxa"/>
            <w:noWrap w:val="0"/>
            <w:vAlign w:val="center"/>
          </w:tcPr>
          <w:p w14:paraId="0A2951B4">
            <w:pPr>
              <w:shd w:val="clear" w:fill="FFFFFF" w:themeFill="background1"/>
              <w:snapToGrid w:val="0"/>
              <w:spacing w:line="560" w:lineRule="exact"/>
              <w:jc w:val="center"/>
              <w:rPr>
                <w:rFonts w:hint="eastAsia" w:ascii="仿宋" w:hAnsi="仿宋" w:eastAsia="仿宋" w:cs="仿宋"/>
                <w:b/>
                <w:bCs/>
                <w:color w:val="auto"/>
                <w:sz w:val="28"/>
                <w:szCs w:val="28"/>
                <w:highlight w:val="none"/>
                <w:vertAlign w:val="baseline"/>
                <w:lang w:eastAsia="zh-CN"/>
              </w:rPr>
            </w:pPr>
            <w:r>
              <w:rPr>
                <w:rFonts w:hint="eastAsia" w:ascii="仿宋" w:hAnsi="仿宋" w:eastAsia="仿宋" w:cs="仿宋"/>
                <w:b/>
                <w:bCs/>
                <w:color w:val="auto"/>
                <w:sz w:val="28"/>
                <w:szCs w:val="28"/>
                <w:highlight w:val="none"/>
              </w:rPr>
              <w:t>基准热值</w:t>
            </w:r>
          </w:p>
        </w:tc>
        <w:tc>
          <w:tcPr>
            <w:tcW w:w="4043" w:type="dxa"/>
            <w:noWrap w:val="0"/>
            <w:vAlign w:val="center"/>
          </w:tcPr>
          <w:p w14:paraId="33E640A7">
            <w:pPr>
              <w:shd w:val="clear" w:fill="FFFFFF" w:themeFill="background1"/>
              <w:snapToGrid w:val="0"/>
              <w:spacing w:line="560" w:lineRule="exact"/>
              <w:jc w:val="center"/>
              <w:rPr>
                <w:rFonts w:hint="eastAsia" w:ascii="仿宋" w:hAnsi="仿宋" w:eastAsia="仿宋" w:cs="仿宋"/>
                <w:b/>
                <w:bCs/>
                <w:color w:val="auto"/>
                <w:sz w:val="28"/>
                <w:szCs w:val="28"/>
                <w:highlight w:val="none"/>
                <w:vertAlign w:val="baseline"/>
              </w:rPr>
            </w:pPr>
            <w:r>
              <w:rPr>
                <w:rFonts w:hint="eastAsia" w:ascii="仿宋" w:hAnsi="仿宋" w:eastAsia="仿宋" w:cs="仿宋"/>
                <w:b/>
                <w:bCs/>
                <w:color w:val="auto"/>
                <w:sz w:val="28"/>
                <w:szCs w:val="28"/>
                <w:highlight w:val="none"/>
              </w:rPr>
              <w:t>合同基准单价</w:t>
            </w:r>
          </w:p>
        </w:tc>
      </w:tr>
      <w:tr w14:paraId="172ED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578" w:type="dxa"/>
            <w:noWrap w:val="0"/>
            <w:vAlign w:val="center"/>
          </w:tcPr>
          <w:p w14:paraId="19D58565">
            <w:pPr>
              <w:shd w:val="clear" w:fill="FFFFFF" w:themeFill="background1"/>
              <w:snapToGrid w:val="0"/>
              <w:spacing w:line="560" w:lineRule="exact"/>
              <w:jc w:val="center"/>
              <w:rPr>
                <w:rFonts w:hint="eastAsia" w:ascii="仿宋" w:hAnsi="仿宋" w:eastAsia="仿宋" w:cs="仿宋"/>
                <w:color w:val="auto"/>
                <w:sz w:val="28"/>
                <w:szCs w:val="28"/>
                <w:highlight w:val="none"/>
                <w:vertAlign w:val="baseline"/>
              </w:rPr>
            </w:pPr>
            <w:r>
              <w:rPr>
                <w:rFonts w:hint="eastAsia" w:ascii="仿宋" w:hAnsi="仿宋" w:eastAsia="仿宋" w:cs="仿宋"/>
                <w:b w:val="0"/>
                <w:bCs w:val="0"/>
                <w:color w:val="auto"/>
                <w:sz w:val="28"/>
                <w:szCs w:val="28"/>
                <w:highlight w:val="none"/>
              </w:rPr>
              <w:t>收到基低位发热量Qnet</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rPr>
              <w:t>ar</w:t>
            </w:r>
            <w:r>
              <w:rPr>
                <w:rFonts w:hint="eastAsia" w:ascii="仿宋" w:hAnsi="仿宋" w:eastAsia="仿宋" w:cs="仿宋"/>
                <w:b w:val="0"/>
                <w:bCs w:val="0"/>
                <w:color w:val="auto"/>
                <w:sz w:val="28"/>
                <w:szCs w:val="28"/>
                <w:highlight w:val="none"/>
                <w:lang w:eastAsia="zh-CN"/>
              </w:rPr>
              <w:t>：</w:t>
            </w:r>
            <w:r>
              <w:rPr>
                <w:rFonts w:hint="eastAsia" w:ascii="仿宋" w:hAnsi="仿宋" w:eastAsia="仿宋" w:cs="仿宋"/>
                <w:b w:val="0"/>
                <w:bCs w:val="0"/>
                <w:color w:val="auto"/>
                <w:sz w:val="28"/>
                <w:szCs w:val="28"/>
                <w:highlight w:val="none"/>
                <w:u w:val="single"/>
                <w:lang w:val="en-US" w:eastAsia="zh-CN"/>
              </w:rPr>
              <w:t>17.5</w:t>
            </w:r>
            <w:r>
              <w:rPr>
                <w:rFonts w:hint="eastAsia" w:ascii="仿宋" w:hAnsi="仿宋" w:eastAsia="仿宋" w:cs="仿宋"/>
                <w:b w:val="0"/>
                <w:bCs w:val="0"/>
                <w:color w:val="auto"/>
                <w:sz w:val="28"/>
                <w:szCs w:val="28"/>
                <w:highlight w:val="none"/>
              </w:rPr>
              <w:t>MJ/k</w:t>
            </w:r>
            <w:r>
              <w:rPr>
                <w:rFonts w:hint="eastAsia" w:ascii="仿宋" w:hAnsi="仿宋" w:eastAsia="仿宋" w:cs="仿宋"/>
                <w:b w:val="0"/>
                <w:bCs w:val="0"/>
                <w:color w:val="auto"/>
                <w:sz w:val="28"/>
                <w:szCs w:val="28"/>
                <w:highlight w:val="none"/>
                <w:lang w:val="en-US" w:eastAsia="zh-CN"/>
              </w:rPr>
              <w:t>g</w:t>
            </w:r>
          </w:p>
        </w:tc>
        <w:tc>
          <w:tcPr>
            <w:tcW w:w="4043" w:type="dxa"/>
            <w:noWrap w:val="0"/>
            <w:vAlign w:val="center"/>
          </w:tcPr>
          <w:p w14:paraId="1E970484">
            <w:pPr>
              <w:shd w:val="clear" w:fill="FFFFFF" w:themeFill="background1"/>
              <w:snapToGrid w:val="0"/>
              <w:spacing w:line="560" w:lineRule="exact"/>
              <w:jc w:val="center"/>
              <w:rPr>
                <w:rFonts w:hint="eastAsia" w:ascii="仿宋" w:hAnsi="仿宋" w:eastAsia="仿宋" w:cs="仿宋"/>
                <w:color w:val="auto"/>
                <w:sz w:val="28"/>
                <w:szCs w:val="28"/>
                <w:highlight w:val="none"/>
                <w:vertAlign w:val="baseline"/>
              </w:rPr>
            </w:pPr>
            <w:r>
              <w:rPr>
                <w:rFonts w:hint="eastAsia" w:ascii="仿宋" w:hAnsi="仿宋" w:eastAsia="仿宋" w:cs="仿宋"/>
                <w:color w:val="auto"/>
                <w:sz w:val="28"/>
                <w:szCs w:val="28"/>
                <w:highlight w:val="none"/>
              </w:rPr>
              <w:t>含税单价</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元/吨</w:t>
            </w:r>
          </w:p>
        </w:tc>
      </w:tr>
    </w:tbl>
    <w:p w14:paraId="21A97231">
      <w:pPr>
        <w:shd w:val="clear" w:fill="FFFFFF" w:themeFill="background1"/>
        <w:spacing w:beforeAutospacing="0" w:afterAutospacing="0" w:line="560" w:lineRule="exact"/>
        <w:ind w:firstLine="643" w:firstLineChars="200"/>
        <w:jc w:val="left"/>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4.1.2 </w:t>
      </w:r>
      <w:r>
        <w:rPr>
          <w:rFonts w:hint="eastAsia" w:ascii="仿宋" w:hAnsi="仿宋" w:eastAsia="仿宋" w:cs="仿宋"/>
          <w:b/>
          <w:bCs/>
          <w:color w:val="auto"/>
          <w:sz w:val="32"/>
          <w:szCs w:val="32"/>
          <w:highlight w:val="none"/>
        </w:rPr>
        <w:t>质量调整价</w:t>
      </w:r>
    </w:p>
    <w:p w14:paraId="633B31E4">
      <w:pPr>
        <w:shd w:val="clear" w:fill="FFFFFF" w:themeFill="background1"/>
        <w:spacing w:beforeAutospacing="0" w:afterAutospacing="0" w:line="560" w:lineRule="exact"/>
        <w:ind w:firstLine="640" w:firstLineChars="200"/>
        <w:jc w:val="left"/>
        <w:rPr>
          <w:rFonts w:hint="eastAsia" w:ascii="仿宋" w:hAnsi="仿宋" w:eastAsia="仿宋" w:cs="仿宋"/>
          <w:color w:val="auto"/>
          <w:sz w:val="32"/>
          <w:szCs w:val="32"/>
          <w:highlight w:val="none"/>
          <w:lang w:val="en-US" w:eastAsia="zh-CN" w:bidi="ar-SA"/>
        </w:rPr>
      </w:pPr>
      <w:r>
        <w:rPr>
          <w:rFonts w:hint="eastAsia" w:ascii="仿宋" w:hAnsi="仿宋" w:eastAsia="仿宋" w:cs="仿宋"/>
          <w:color w:val="auto"/>
          <w:sz w:val="32"/>
          <w:szCs w:val="32"/>
          <w:highlight w:val="none"/>
          <w:lang w:val="en-US" w:eastAsia="zh-CN" w:bidi="ar-SA"/>
        </w:rPr>
        <w:t>质量调整价=发热量</w:t>
      </w:r>
      <w:r>
        <w:rPr>
          <w:rFonts w:hint="eastAsia" w:ascii="仿宋" w:hAnsi="仿宋" w:eastAsia="仿宋" w:cs="仿宋"/>
          <w:color w:val="auto"/>
          <w:sz w:val="32"/>
          <w:szCs w:val="32"/>
          <w:highlight w:val="none"/>
          <w:u w:val="none"/>
          <w:lang w:val="en-US" w:eastAsia="zh-CN" w:bidi="ar-SA"/>
        </w:rPr>
        <w:t>调</w:t>
      </w:r>
      <w:r>
        <w:rPr>
          <w:rFonts w:hint="eastAsia" w:ascii="仿宋" w:hAnsi="仿宋" w:eastAsia="仿宋" w:cs="仿宋"/>
          <w:color w:val="auto"/>
          <w:sz w:val="32"/>
          <w:szCs w:val="32"/>
          <w:highlight w:val="none"/>
          <w:lang w:val="en-US" w:eastAsia="zh-CN" w:bidi="ar-SA"/>
        </w:rPr>
        <w:t>整价+硫分调整价+水分调整价，根据结算周期加权指标分别计算，调整价计算结果四舍五入保留至小数点后两位。</w:t>
      </w:r>
    </w:p>
    <w:p w14:paraId="6E9F8F85">
      <w:pPr>
        <w:pStyle w:val="2"/>
        <w:keepNext w:val="0"/>
        <w:keepLines w:val="0"/>
        <w:pageBreakBefore w:val="0"/>
        <w:widowControl w:val="0"/>
        <w:kinsoku/>
        <w:wordWrap/>
        <w:overflowPunct/>
        <w:topLinePunct w:val="0"/>
        <w:autoSpaceDE/>
        <w:autoSpaceDN/>
        <w:bidi w:val="0"/>
        <w:adjustRightInd/>
        <w:snapToGrid/>
        <w:ind w:left="0" w:leftChars="0" w:firstLine="643" w:firstLineChars="200"/>
        <w:textAlignment w:val="auto"/>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b/>
          <w:bCs/>
          <w:color w:val="auto"/>
          <w:sz w:val="32"/>
          <w:szCs w:val="32"/>
          <w:highlight w:val="none"/>
          <w:lang w:val="en-US" w:eastAsia="zh-CN"/>
        </w:rPr>
        <w:t>4.1.2.1</w:t>
      </w:r>
      <w:r>
        <w:rPr>
          <w:rFonts w:hint="eastAsia" w:ascii="仿宋" w:hAnsi="仿宋" w:eastAsia="仿宋" w:cs="仿宋"/>
          <w:b/>
          <w:bCs/>
          <w:color w:val="auto"/>
          <w:sz w:val="32"/>
          <w:szCs w:val="32"/>
          <w:highlight w:val="none"/>
          <w:u w:val="none"/>
          <w:lang w:val="en-US" w:eastAsia="zh-CN" w:bidi="ar-SA"/>
        </w:rPr>
        <w:t>发热量调整价</w:t>
      </w:r>
      <w:r>
        <w:rPr>
          <w:rFonts w:hint="eastAsia" w:ascii="仿宋" w:hAnsi="仿宋" w:eastAsia="仿宋" w:cs="仿宋"/>
          <w:color w:val="auto"/>
          <w:sz w:val="32"/>
          <w:szCs w:val="32"/>
          <w:highlight w:val="none"/>
          <w:u w:val="none"/>
          <w:lang w:val="en-US" w:eastAsia="zh-CN" w:bidi="ar-SA"/>
        </w:rPr>
        <w:t>（执行阶梯计价）</w:t>
      </w:r>
    </w:p>
    <w:p w14:paraId="591A9AB8">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color w:val="auto"/>
          <w:highlight w:val="none"/>
          <w:u w:val="none"/>
          <w:lang w:val="en-US" w:bidi="ar-SA"/>
        </w:rPr>
        <w:t>以</w:t>
      </w:r>
      <w:r>
        <w:rPr>
          <w:rFonts w:hint="eastAsia" w:ascii="仿宋" w:hAnsi="仿宋" w:eastAsia="仿宋" w:cs="仿宋"/>
          <w:color w:val="auto"/>
          <w:highlight w:val="none"/>
          <w:u w:val="none"/>
          <w:lang w:val="en-US" w:eastAsia="zh-CN" w:bidi="ar-SA"/>
        </w:rPr>
        <w:t xml:space="preserve"> </w:t>
      </w:r>
      <w:r>
        <w:rPr>
          <w:rFonts w:hint="eastAsia" w:ascii="仿宋" w:hAnsi="仿宋" w:eastAsia="仿宋" w:cs="仿宋"/>
          <w:color w:val="auto"/>
          <w:highlight w:val="none"/>
          <w:u w:val="none"/>
          <w:lang w:val="en-US" w:bidi="ar-SA"/>
        </w:rPr>
        <w:t>0.01</w:t>
      </w:r>
      <w:r>
        <w:rPr>
          <w:rFonts w:hint="eastAsia" w:ascii="仿宋" w:hAnsi="仿宋" w:eastAsia="仿宋" w:cs="仿宋"/>
          <w:color w:val="auto"/>
          <w:highlight w:val="none"/>
          <w:u w:val="none"/>
          <w:lang w:val="en-US" w:eastAsia="zh-CN" w:bidi="ar-SA"/>
        </w:rPr>
        <w:t xml:space="preserve"> </w:t>
      </w:r>
      <w:r>
        <w:rPr>
          <w:rFonts w:hint="eastAsia" w:ascii="仿宋" w:hAnsi="仿宋" w:eastAsia="仿宋" w:cs="仿宋"/>
          <w:color w:val="auto"/>
          <w:highlight w:val="none"/>
          <w:u w:val="none"/>
          <w:lang w:val="en-US" w:bidi="ar-SA"/>
        </w:rPr>
        <w:t>MJ/kg</w:t>
      </w:r>
      <w:r>
        <w:rPr>
          <w:rFonts w:hint="eastAsia" w:ascii="仿宋" w:hAnsi="仿宋" w:eastAsia="仿宋" w:cs="仿宋"/>
          <w:color w:val="auto"/>
          <w:highlight w:val="none"/>
          <w:u w:val="none"/>
          <w:lang w:val="en-US" w:eastAsia="zh-CN" w:bidi="ar-SA"/>
        </w:rPr>
        <w:t>作</w:t>
      </w:r>
      <w:r>
        <w:rPr>
          <w:rFonts w:hint="eastAsia" w:ascii="仿宋" w:hAnsi="仿宋" w:eastAsia="仿宋" w:cs="仿宋"/>
          <w:color w:val="auto"/>
          <w:highlight w:val="none"/>
          <w:u w:val="none"/>
          <w:lang w:val="en-US" w:bidi="ar-SA"/>
        </w:rPr>
        <w:t>为</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价格=</w:t>
      </w:r>
      <w:r>
        <w:rPr>
          <w:rFonts w:hint="eastAsia" w:ascii="仿宋" w:hAnsi="仿宋" w:eastAsia="仿宋" w:cs="仿宋"/>
          <w:color w:val="auto"/>
          <w:highlight w:val="none"/>
          <w:u w:val="none"/>
          <w:lang w:val="en-US" w:eastAsia="zh-CN" w:bidi="ar-SA"/>
        </w:rPr>
        <w:t>（</w:t>
      </w:r>
      <w:r>
        <w:rPr>
          <w:rFonts w:hint="eastAsia" w:ascii="仿宋" w:hAnsi="仿宋" w:eastAsia="仿宋" w:cs="仿宋"/>
          <w:color w:val="auto"/>
          <w:highlight w:val="none"/>
          <w:u w:val="single"/>
          <w:lang w:val="en-US" w:bidi="ar-SA"/>
        </w:rPr>
        <w:t>合同基准单价÷基准热值÷100</w:t>
      </w:r>
      <w:r>
        <w:rPr>
          <w:rFonts w:hint="eastAsia" w:ascii="仿宋" w:hAnsi="仿宋" w:eastAsia="仿宋" w:cs="仿宋"/>
          <w:color w:val="auto"/>
          <w:highlight w:val="none"/>
          <w:u w:val="none"/>
          <w:lang w:val="en-US" w:eastAsia="zh-CN" w:bidi="ar-SA"/>
        </w:rPr>
        <w:t>）</w:t>
      </w:r>
      <w:r>
        <w:rPr>
          <w:rFonts w:hint="eastAsia" w:ascii="仿宋" w:hAnsi="仿宋" w:eastAsia="仿宋" w:cs="仿宋"/>
          <w:color w:val="auto"/>
          <w:highlight w:val="none"/>
          <w:u w:val="none"/>
          <w:lang w:val="en-US" w:bidi="ar-SA"/>
        </w:rPr>
        <w:t>元/吨，</w:t>
      </w:r>
      <w:r>
        <w:rPr>
          <w:rFonts w:hint="eastAsia" w:ascii="仿宋" w:hAnsi="仿宋" w:eastAsia="仿宋" w:cs="仿宋"/>
          <w:color w:val="auto"/>
          <w:highlight w:val="none"/>
          <w:u w:val="none"/>
          <w:lang w:val="en-US" w:eastAsia="zh-CN" w:bidi="ar-SA"/>
        </w:rPr>
        <w:t>热值浮动基准</w:t>
      </w:r>
      <w:r>
        <w:rPr>
          <w:rFonts w:hint="eastAsia" w:ascii="仿宋" w:hAnsi="仿宋" w:eastAsia="仿宋" w:cs="仿宋"/>
          <w:color w:val="auto"/>
          <w:highlight w:val="none"/>
          <w:u w:val="none"/>
          <w:lang w:val="en-US" w:bidi="ar-SA"/>
        </w:rPr>
        <w:t>价格</w:t>
      </w:r>
      <w:r>
        <w:rPr>
          <w:rFonts w:hint="eastAsia" w:ascii="仿宋" w:hAnsi="仿宋" w:eastAsia="仿宋" w:cs="仿宋"/>
          <w:color w:val="auto"/>
          <w:highlight w:val="none"/>
          <w:u w:val="none"/>
          <w:lang w:val="en-US" w:eastAsia="zh-CN" w:bidi="ar-SA"/>
        </w:rPr>
        <w:t>计算</w:t>
      </w:r>
      <w:r>
        <w:rPr>
          <w:rFonts w:hint="eastAsia" w:ascii="仿宋" w:hAnsi="仿宋" w:eastAsia="仿宋" w:cs="仿宋"/>
          <w:color w:val="auto"/>
          <w:highlight w:val="none"/>
          <w:u w:val="none"/>
          <w:lang w:val="en-US" w:bidi="ar-SA"/>
        </w:rPr>
        <w:t>结果四舍五入保留至小数点后三位。</w:t>
      </w:r>
    </w:p>
    <w:tbl>
      <w:tblPr>
        <w:tblStyle w:val="11"/>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7"/>
        <w:gridCol w:w="6735"/>
      </w:tblGrid>
      <w:tr w14:paraId="0094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518" w:type="pct"/>
            <w:noWrap w:val="0"/>
            <w:vAlign w:val="center"/>
          </w:tcPr>
          <w:p w14:paraId="2A3BFC1B">
            <w:pPr>
              <w:pStyle w:val="2"/>
              <w:ind w:firstLine="0"/>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481" w:type="pct"/>
            <w:noWrap w:val="0"/>
            <w:vAlign w:val="center"/>
          </w:tcPr>
          <w:p w14:paraId="576E381C">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
                <w:bCs w:val="0"/>
                <w:color w:val="auto"/>
                <w:kern w:val="2"/>
                <w:sz w:val="28"/>
                <w:szCs w:val="28"/>
                <w:highlight w:val="none"/>
                <w:lang w:val="en-US" w:eastAsia="zh-CN" w:bidi="ar-SA"/>
              </w:rPr>
            </w:pPr>
            <w:r>
              <w:rPr>
                <w:rFonts w:hint="default" w:ascii="仿宋" w:hAnsi="仿宋" w:eastAsia="仿宋" w:cs="仿宋"/>
                <w:b/>
                <w:color w:val="auto"/>
                <w:sz w:val="28"/>
                <w:szCs w:val="28"/>
                <w:highlight w:val="none"/>
              </w:rPr>
              <w:t>发热量调整价</w:t>
            </w:r>
          </w:p>
        </w:tc>
      </w:tr>
      <w:tr w14:paraId="71508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noWrap w:val="0"/>
            <w:vAlign w:val="center"/>
          </w:tcPr>
          <w:p w14:paraId="58E2558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当结算发热量&gt;</w:t>
            </w:r>
          </w:p>
          <w:p w14:paraId="7683050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17.5</w:t>
            </w:r>
            <w:r>
              <w:rPr>
                <w:rFonts w:hint="eastAsia" w:ascii="仿宋" w:hAnsi="仿宋" w:eastAsia="仿宋" w:cs="仿宋"/>
                <w:bCs/>
                <w:color w:val="auto"/>
                <w:sz w:val="28"/>
                <w:szCs w:val="28"/>
                <w:highlight w:val="none"/>
                <w:lang w:val="en-US" w:eastAsia="zh-CN"/>
              </w:rPr>
              <w:t>MJ/kg</w:t>
            </w:r>
          </w:p>
        </w:tc>
        <w:tc>
          <w:tcPr>
            <w:tcW w:w="3481" w:type="pct"/>
            <w:noWrap w:val="0"/>
            <w:vAlign w:val="center"/>
          </w:tcPr>
          <w:p w14:paraId="39B455B0">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default"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MJ/kg每升高</w:t>
            </w:r>
            <w:r>
              <w:rPr>
                <w:rFonts w:hint="eastAsia" w:ascii="仿宋" w:hAnsi="仿宋" w:eastAsia="仿宋" w:cs="仿宋"/>
                <w:b w:val="0"/>
                <w:bCs/>
                <w:color w:val="auto"/>
                <w:sz w:val="28"/>
                <w:szCs w:val="28"/>
                <w:highlight w:val="none"/>
                <w:u w:val="none"/>
                <w:lang w:val="en-US" w:eastAsia="zh-CN"/>
              </w:rPr>
              <w:t xml:space="preserve">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r w14:paraId="10AA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shd w:val="clear" w:color="auto" w:fill="auto"/>
            <w:noWrap w:val="0"/>
            <w:vAlign w:val="center"/>
          </w:tcPr>
          <w:p w14:paraId="1194A678">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15.5</w:t>
            </w:r>
            <w:r>
              <w:rPr>
                <w:rFonts w:hint="eastAsia" w:ascii="仿宋" w:hAnsi="仿宋" w:eastAsia="仿宋" w:cs="仿宋"/>
                <w:bCs/>
                <w:color w:val="auto"/>
                <w:sz w:val="28"/>
                <w:szCs w:val="28"/>
                <w:highlight w:val="none"/>
                <w:lang w:val="en-US" w:eastAsia="zh-CN"/>
              </w:rPr>
              <w:t>MJ/kg</w:t>
            </w:r>
          </w:p>
          <w:p w14:paraId="66B5ABA4">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≤当结算发热量&lt;</w:t>
            </w:r>
          </w:p>
          <w:p w14:paraId="6AC91DA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17.5</w:t>
            </w:r>
            <w:r>
              <w:rPr>
                <w:rFonts w:hint="eastAsia" w:ascii="仿宋" w:hAnsi="仿宋" w:eastAsia="仿宋" w:cs="仿宋"/>
                <w:bCs/>
                <w:color w:val="auto"/>
                <w:sz w:val="28"/>
                <w:szCs w:val="28"/>
                <w:highlight w:val="none"/>
                <w:lang w:val="en-US" w:eastAsia="zh-CN"/>
              </w:rPr>
              <w:t>MJ/kg</w:t>
            </w:r>
          </w:p>
        </w:tc>
        <w:tc>
          <w:tcPr>
            <w:tcW w:w="3481" w:type="pct"/>
            <w:shd w:val="clear" w:color="auto" w:fill="auto"/>
            <w:noWrap w:val="0"/>
            <w:vAlign w:val="center"/>
          </w:tcPr>
          <w:p w14:paraId="31B9243C">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w:t>
            </w:r>
            <w:r>
              <w:rPr>
                <w:rFonts w:hint="eastAsia" w:ascii="仿宋" w:hAnsi="仿宋" w:eastAsia="仿宋" w:cs="仿宋"/>
                <w:bCs/>
                <w:color w:val="auto"/>
                <w:sz w:val="28"/>
                <w:szCs w:val="28"/>
                <w:highlight w:val="none"/>
                <w:lang w:val="en-US" w:eastAsia="zh-CN"/>
              </w:rPr>
              <w:t>MJ/kg每</w:t>
            </w:r>
            <w:r>
              <w:rPr>
                <w:rFonts w:hint="eastAsia" w:ascii="仿宋" w:hAnsi="仿宋" w:eastAsia="仿宋" w:cs="仿宋"/>
                <w:b w:val="0"/>
                <w:bCs/>
                <w:color w:val="auto"/>
                <w:sz w:val="28"/>
                <w:szCs w:val="28"/>
                <w:highlight w:val="none"/>
                <w:u w:val="none"/>
                <w:lang w:val="en-US" w:eastAsia="zh-CN"/>
              </w:rPr>
              <w:t xml:space="preserve">降低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r w14:paraId="542E4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exact"/>
          <w:jc w:val="center"/>
        </w:trPr>
        <w:tc>
          <w:tcPr>
            <w:tcW w:w="1518" w:type="pct"/>
            <w:shd w:val="clear" w:color="auto" w:fill="auto"/>
            <w:noWrap w:val="0"/>
            <w:vAlign w:val="center"/>
          </w:tcPr>
          <w:p w14:paraId="048B1329">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bCs/>
                <w:color w:val="auto"/>
                <w:sz w:val="28"/>
                <w:szCs w:val="28"/>
                <w:highlight w:val="none"/>
                <w:lang w:val="en-US" w:eastAsia="zh-CN"/>
              </w:rPr>
              <w:t>当结算发热量&lt;</w:t>
            </w:r>
          </w:p>
          <w:p w14:paraId="09696610">
            <w:pPr>
              <w:keepNext w:val="0"/>
              <w:keepLines w:val="0"/>
              <w:pageBreakBefore w:val="0"/>
              <w:widowControl w:val="0"/>
              <w:numPr>
                <w:ilvl w:val="-1"/>
                <w:numId w:val="0"/>
              </w:numPr>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color w:val="auto"/>
                <w:sz w:val="28"/>
                <w:szCs w:val="28"/>
                <w:highlight w:val="none"/>
                <w:u w:val="single"/>
                <w:lang w:val="en-US" w:eastAsia="zh-CN"/>
              </w:rPr>
              <w:t>15.5</w:t>
            </w:r>
            <w:r>
              <w:rPr>
                <w:rFonts w:hint="eastAsia" w:ascii="仿宋" w:hAnsi="仿宋" w:eastAsia="仿宋" w:cs="仿宋"/>
                <w:bCs/>
                <w:color w:val="auto"/>
                <w:sz w:val="28"/>
                <w:szCs w:val="28"/>
                <w:highlight w:val="none"/>
                <w:lang w:val="en-US" w:eastAsia="zh-CN"/>
              </w:rPr>
              <w:t>MJ/kg</w:t>
            </w:r>
          </w:p>
        </w:tc>
        <w:tc>
          <w:tcPr>
            <w:tcW w:w="3481" w:type="pct"/>
            <w:shd w:val="clear" w:color="auto" w:fill="auto"/>
            <w:noWrap w:val="0"/>
            <w:vAlign w:val="center"/>
          </w:tcPr>
          <w:p w14:paraId="6C0EF8F5">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both"/>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 w:val="0"/>
                <w:bCs/>
                <w:color w:val="auto"/>
                <w:sz w:val="28"/>
                <w:szCs w:val="28"/>
                <w:highlight w:val="none"/>
                <w:u w:val="none"/>
                <w:lang w:val="en-US" w:eastAsia="zh-CN"/>
              </w:rPr>
              <w:t>较</w:t>
            </w:r>
            <w:r>
              <w:rPr>
                <w:rFonts w:hint="eastAsia" w:ascii="仿宋" w:hAnsi="仿宋" w:eastAsia="仿宋" w:cs="仿宋"/>
                <w:b w:val="0"/>
                <w:bCs/>
                <w:color w:val="auto"/>
                <w:sz w:val="28"/>
                <w:szCs w:val="28"/>
                <w:highlight w:val="none"/>
                <w:u w:val="single"/>
                <w:lang w:val="en-US" w:eastAsia="zh-CN"/>
              </w:rPr>
              <w:t>（基准热值-2）</w:t>
            </w:r>
            <w:r>
              <w:rPr>
                <w:rFonts w:hint="eastAsia" w:ascii="仿宋" w:hAnsi="仿宋" w:eastAsia="仿宋" w:cs="仿宋"/>
                <w:bCs/>
                <w:color w:val="auto"/>
                <w:sz w:val="28"/>
                <w:szCs w:val="28"/>
                <w:highlight w:val="none"/>
                <w:lang w:val="en-US" w:eastAsia="zh-CN"/>
              </w:rPr>
              <w:t>MJ/kg每</w:t>
            </w:r>
            <w:r>
              <w:rPr>
                <w:rFonts w:hint="eastAsia" w:ascii="仿宋" w:hAnsi="仿宋" w:eastAsia="仿宋" w:cs="仿宋"/>
                <w:b w:val="0"/>
                <w:bCs/>
                <w:color w:val="auto"/>
                <w:sz w:val="28"/>
                <w:szCs w:val="28"/>
                <w:highlight w:val="none"/>
                <w:u w:val="none"/>
                <w:lang w:val="en-US" w:eastAsia="zh-CN"/>
              </w:rPr>
              <w:t xml:space="preserve">降低 0.01 </w:t>
            </w:r>
            <w:r>
              <w:rPr>
                <w:rFonts w:hint="eastAsia" w:ascii="仿宋" w:hAnsi="仿宋" w:eastAsia="仿宋" w:cs="仿宋"/>
                <w:b w:val="0"/>
                <w:bCs/>
                <w:color w:val="auto"/>
                <w:sz w:val="28"/>
                <w:szCs w:val="28"/>
                <w:highlight w:val="none"/>
                <w:lang w:val="en-US" w:eastAsia="zh-CN"/>
              </w:rPr>
              <w:t>MJ/kg，</w:t>
            </w:r>
            <w:r>
              <w:rPr>
                <w:rFonts w:hint="eastAsia" w:ascii="仿宋" w:hAnsi="仿宋" w:eastAsia="仿宋" w:cs="仿宋"/>
                <w:b w:val="0"/>
                <w:bCs/>
                <w:color w:val="auto"/>
                <w:sz w:val="28"/>
                <w:szCs w:val="28"/>
                <w:highlight w:val="none"/>
                <w:u w:val="none"/>
                <w:lang w:val="en-US" w:eastAsia="zh-CN"/>
              </w:rPr>
              <w:t>发热量调整价</w:t>
            </w:r>
            <w:r>
              <w:rPr>
                <w:rFonts w:hint="eastAsia" w:ascii="仿宋" w:hAnsi="仿宋" w:eastAsia="仿宋" w:cs="仿宋"/>
                <w:bCs/>
                <w:color w:val="auto"/>
                <w:sz w:val="28"/>
                <w:szCs w:val="28"/>
                <w:highlight w:val="none"/>
                <w:u w:val="none"/>
                <w:lang w:val="en-US" w:eastAsia="zh-CN"/>
              </w:rPr>
              <w:t>=</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*（-2）</w:t>
            </w:r>
            <w:r>
              <w:rPr>
                <w:rFonts w:hint="eastAsia" w:ascii="仿宋" w:hAnsi="仿宋" w:eastAsia="仿宋" w:cs="仿宋"/>
                <w:b w:val="0"/>
                <w:bCs w:val="0"/>
                <w:color w:val="auto"/>
                <w:sz w:val="28"/>
                <w:szCs w:val="28"/>
                <w:highlight w:val="none"/>
                <w:u w:val="single"/>
                <w:lang w:val="en-US" w:eastAsia="zh-CN"/>
              </w:rPr>
              <w:t>/0.01</w:t>
            </w:r>
            <w:r>
              <w:rPr>
                <w:rFonts w:hint="eastAsia" w:ascii="仿宋" w:hAnsi="仿宋" w:eastAsia="仿宋" w:cs="仿宋"/>
                <w:bCs/>
                <w:color w:val="auto"/>
                <w:sz w:val="28"/>
                <w:szCs w:val="28"/>
                <w:highlight w:val="none"/>
                <w:u w:val="single"/>
                <w:lang w:val="en-US" w:eastAsia="zh-CN"/>
              </w:rPr>
              <w:t>+2*</w:t>
            </w:r>
            <w:r>
              <w:rPr>
                <w:rFonts w:hint="eastAsia" w:ascii="仿宋" w:hAnsi="仿宋" w:eastAsia="仿宋" w:cs="仿宋"/>
                <w:b w:val="0"/>
                <w:bCs w:val="0"/>
                <w:color w:val="auto"/>
                <w:sz w:val="28"/>
                <w:szCs w:val="28"/>
                <w:highlight w:val="none"/>
                <w:u w:val="single"/>
                <w:lang w:val="en-US" w:eastAsia="zh-CN"/>
              </w:rPr>
              <w:t>热值浮动基准价格*</w:t>
            </w:r>
            <w:r>
              <w:rPr>
                <w:rFonts w:hint="eastAsia" w:ascii="仿宋" w:hAnsi="仿宋" w:eastAsia="仿宋" w:cs="仿宋"/>
                <w:bCs/>
                <w:color w:val="auto"/>
                <w:sz w:val="28"/>
                <w:szCs w:val="28"/>
                <w:highlight w:val="none"/>
                <w:u w:val="single"/>
                <w:lang w:val="en-US" w:eastAsia="zh-CN"/>
              </w:rPr>
              <w:t>（结算热值-基准热值+2）/0.01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14:paraId="28D4AD6A">
      <w:pPr>
        <w:shd w:val="clear" w:fill="FFFFFF" w:themeFill="background1"/>
        <w:ind w:firstLine="643" w:firstLineChars="200"/>
        <w:rPr>
          <w:rFonts w:hint="eastAsia" w:ascii="仿宋" w:hAnsi="仿宋" w:eastAsia="仿宋" w:cs="仿宋"/>
          <w:color w:val="auto"/>
          <w:sz w:val="32"/>
          <w:szCs w:val="32"/>
          <w:highlight w:val="none"/>
          <w:u w:val="none"/>
          <w:lang w:val="en-US" w:eastAsia="zh-CN" w:bidi="ar-SA"/>
        </w:rPr>
      </w:pPr>
      <w:r>
        <w:rPr>
          <w:rFonts w:hint="eastAsia" w:ascii="仿宋" w:hAnsi="仿宋" w:eastAsia="仿宋" w:cs="仿宋"/>
          <w:b/>
          <w:bCs/>
          <w:color w:val="auto"/>
          <w:sz w:val="32"/>
          <w:szCs w:val="32"/>
          <w:highlight w:val="none"/>
          <w:u w:val="none"/>
          <w:lang w:val="en-US" w:eastAsia="zh-CN"/>
        </w:rPr>
        <w:t>4.1.2.2硫分</w:t>
      </w:r>
      <w:r>
        <w:rPr>
          <w:rFonts w:hint="eastAsia" w:ascii="仿宋" w:hAnsi="仿宋" w:eastAsia="仿宋" w:cs="仿宋"/>
          <w:b/>
          <w:bCs/>
          <w:color w:val="auto"/>
          <w:sz w:val="32"/>
          <w:szCs w:val="32"/>
          <w:highlight w:val="none"/>
          <w:u w:val="none"/>
          <w:lang w:val="en-US" w:eastAsia="zh-CN" w:bidi="ar-SA"/>
        </w:rPr>
        <w:t>调整价</w:t>
      </w:r>
    </w:p>
    <w:tbl>
      <w:tblPr>
        <w:tblStyle w:val="11"/>
        <w:tblW w:w="5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1"/>
        <w:gridCol w:w="6452"/>
      </w:tblGrid>
      <w:tr w14:paraId="663A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619" w:type="pct"/>
            <w:noWrap w:val="0"/>
            <w:vAlign w:val="center"/>
          </w:tcPr>
          <w:p w14:paraId="198DEAB1">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380" w:type="pct"/>
            <w:noWrap w:val="0"/>
            <w:vAlign w:val="center"/>
          </w:tcPr>
          <w:p w14:paraId="7046767C">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
                <w:bCs w:val="0"/>
                <w:color w:val="auto"/>
                <w:kern w:val="2"/>
                <w:sz w:val="28"/>
                <w:szCs w:val="28"/>
                <w:highlight w:val="none"/>
                <w:lang w:val="en-US" w:eastAsia="zh-CN" w:bidi="ar-SA"/>
              </w:rPr>
            </w:pPr>
            <w:r>
              <w:rPr>
                <w:rFonts w:hint="eastAsia" w:ascii="仿宋" w:hAnsi="仿宋" w:eastAsia="仿宋" w:cs="仿宋"/>
                <w:b/>
                <w:bCs w:val="0"/>
                <w:color w:val="auto"/>
                <w:sz w:val="28"/>
                <w:szCs w:val="28"/>
                <w:highlight w:val="none"/>
                <w:lang w:val="en-US" w:eastAsia="zh-CN"/>
              </w:rPr>
              <w:t>硫分调整价</w:t>
            </w:r>
          </w:p>
        </w:tc>
      </w:tr>
      <w:tr w14:paraId="5B1B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619" w:type="pct"/>
            <w:noWrap w:val="0"/>
            <w:vAlign w:val="center"/>
          </w:tcPr>
          <w:p w14:paraId="68CC1AF4">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u w:val="none"/>
                <w:lang w:val="en-US" w:eastAsia="zh-CN"/>
              </w:rPr>
              <w:t>当结算硫分&gt;</w:t>
            </w:r>
          </w:p>
          <w:p w14:paraId="261D352A">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u w:val="single"/>
                <w:lang w:val="en-US" w:eastAsia="zh-CN"/>
              </w:rPr>
              <w:t>0.8</w:t>
            </w:r>
            <w:r>
              <w:rPr>
                <w:rFonts w:hint="eastAsia" w:ascii="仿宋" w:hAnsi="仿宋" w:eastAsia="仿宋" w:cs="仿宋"/>
                <w:bCs/>
                <w:color w:val="auto"/>
                <w:sz w:val="28"/>
                <w:szCs w:val="28"/>
                <w:highlight w:val="none"/>
                <w:u w:val="none"/>
                <w:lang w:val="en-US" w:eastAsia="zh-CN"/>
              </w:rPr>
              <w:t xml:space="preserve"> %</w:t>
            </w:r>
          </w:p>
        </w:tc>
        <w:tc>
          <w:tcPr>
            <w:tcW w:w="3380" w:type="pct"/>
            <w:noWrap w:val="0"/>
            <w:vAlign w:val="center"/>
          </w:tcPr>
          <w:p w14:paraId="7EC25E95">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Cs/>
                <w:color w:val="auto"/>
                <w:kern w:val="2"/>
                <w:sz w:val="28"/>
                <w:szCs w:val="28"/>
                <w:highlight w:val="none"/>
                <w:lang w:val="en-US" w:eastAsia="zh-CN" w:bidi="ar-SA"/>
              </w:rPr>
            </w:pPr>
            <w:r>
              <w:rPr>
                <w:rFonts w:hint="eastAsia" w:ascii="仿宋" w:hAnsi="仿宋" w:eastAsia="仿宋" w:cs="仿宋"/>
                <w:bCs/>
                <w:color w:val="auto"/>
                <w:sz w:val="28"/>
                <w:szCs w:val="28"/>
                <w:highlight w:val="none"/>
                <w:lang w:val="en-US" w:eastAsia="zh-CN"/>
              </w:rPr>
              <w:t>每较</w:t>
            </w:r>
            <w:r>
              <w:rPr>
                <w:rFonts w:hint="eastAsia" w:ascii="仿宋" w:hAnsi="仿宋" w:eastAsia="仿宋" w:cs="仿宋"/>
                <w:bCs/>
                <w:color w:val="auto"/>
                <w:sz w:val="28"/>
                <w:szCs w:val="28"/>
                <w:highlight w:val="none"/>
                <w:u w:val="single"/>
                <w:lang w:val="en-US" w:eastAsia="zh-CN"/>
              </w:rPr>
              <w:t>合同硫分</w:t>
            </w:r>
            <w:r>
              <w:rPr>
                <w:rFonts w:hint="eastAsia" w:ascii="仿宋" w:hAnsi="仿宋" w:eastAsia="仿宋" w:cs="仿宋"/>
                <w:bCs/>
                <w:color w:val="auto"/>
                <w:sz w:val="28"/>
                <w:szCs w:val="28"/>
                <w:highlight w:val="none"/>
                <w:u w:val="none"/>
                <w:lang w:val="en-US" w:eastAsia="zh-CN"/>
              </w:rPr>
              <w:t>%</w:t>
            </w:r>
            <w:r>
              <w:rPr>
                <w:rFonts w:hint="eastAsia" w:ascii="仿宋" w:hAnsi="仿宋" w:eastAsia="仿宋" w:cs="仿宋"/>
                <w:bCs/>
                <w:color w:val="auto"/>
                <w:sz w:val="28"/>
                <w:szCs w:val="28"/>
                <w:highlight w:val="none"/>
                <w:lang w:val="en-US" w:eastAsia="zh-CN"/>
              </w:rPr>
              <w:t>升高0.01%，考核</w:t>
            </w:r>
            <w:r>
              <w:rPr>
                <w:rFonts w:hint="eastAsia" w:ascii="仿宋" w:hAnsi="仿宋" w:eastAsia="仿宋" w:cs="仿宋"/>
                <w:bCs/>
                <w:color w:val="auto"/>
                <w:sz w:val="28"/>
                <w:szCs w:val="28"/>
                <w:highlight w:val="none"/>
                <w:u w:val="none"/>
                <w:lang w:val="en-US" w:eastAsia="zh-CN"/>
              </w:rPr>
              <w:t xml:space="preserve"> 0.1 </w:t>
            </w:r>
            <w:r>
              <w:rPr>
                <w:rFonts w:hint="eastAsia" w:ascii="仿宋" w:hAnsi="仿宋" w:eastAsia="仿宋" w:cs="仿宋"/>
                <w:bCs/>
                <w:color w:val="auto"/>
                <w:sz w:val="28"/>
                <w:szCs w:val="28"/>
                <w:highlight w:val="none"/>
                <w:lang w:val="en-US" w:eastAsia="zh-CN"/>
              </w:rPr>
              <w:t>元/吨。硫分</w:t>
            </w:r>
            <w:r>
              <w:rPr>
                <w:rFonts w:hint="eastAsia" w:ascii="仿宋" w:hAnsi="仿宋" w:eastAsia="仿宋" w:cs="仿宋"/>
                <w:bCs/>
                <w:color w:val="auto"/>
                <w:sz w:val="28"/>
                <w:szCs w:val="28"/>
                <w:highlight w:val="none"/>
              </w:rPr>
              <w:t>调整价=</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Cs/>
                <w:color w:val="auto"/>
                <w:sz w:val="28"/>
                <w:szCs w:val="28"/>
                <w:highlight w:val="none"/>
                <w:u w:val="single"/>
                <w:lang w:val="en-US" w:eastAsia="zh-CN"/>
              </w:rPr>
              <w:t>0.1*</w:t>
            </w:r>
            <w:r>
              <w:rPr>
                <w:rFonts w:hint="eastAsia" w:ascii="仿宋" w:hAnsi="仿宋" w:eastAsia="仿宋" w:cs="仿宋"/>
                <w:bCs/>
                <w:color w:val="auto"/>
                <w:sz w:val="28"/>
                <w:szCs w:val="28"/>
                <w:highlight w:val="none"/>
                <w:u w:val="single"/>
              </w:rPr>
              <w:t>（合同硫分-结算硫分）</w:t>
            </w:r>
            <w:r>
              <w:rPr>
                <w:rFonts w:hint="eastAsia" w:ascii="仿宋" w:hAnsi="仿宋" w:eastAsia="仿宋" w:cs="仿宋"/>
                <w:bCs/>
                <w:color w:val="auto"/>
                <w:sz w:val="28"/>
                <w:szCs w:val="28"/>
                <w:highlight w:val="none"/>
                <w:u w:val="single"/>
                <w:lang w:val="en-US" w:eastAsia="zh-CN"/>
              </w:rPr>
              <w:t>/0.01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14:paraId="7F2E68A5">
      <w:pPr>
        <w:shd w:val="clear" w:fill="FFFFFF" w:themeFill="background1"/>
        <w:ind w:firstLine="643" w:firstLineChars="200"/>
        <w:rPr>
          <w:rFonts w:hint="eastAsia" w:ascii="仿宋" w:hAnsi="仿宋" w:eastAsia="仿宋" w:cs="仿宋"/>
          <w:b/>
          <w:bCs/>
          <w:color w:val="auto"/>
          <w:sz w:val="32"/>
          <w:szCs w:val="32"/>
          <w:highlight w:val="none"/>
          <w:u w:val="none"/>
          <w:lang w:val="en-US" w:eastAsia="zh-CN" w:bidi="ar-SA"/>
        </w:rPr>
      </w:pPr>
      <w:r>
        <w:rPr>
          <w:rFonts w:hint="eastAsia" w:ascii="仿宋" w:hAnsi="仿宋" w:eastAsia="仿宋" w:cs="仿宋"/>
          <w:b/>
          <w:bCs/>
          <w:color w:val="auto"/>
          <w:sz w:val="32"/>
          <w:szCs w:val="32"/>
          <w:highlight w:val="none"/>
          <w:u w:val="none"/>
          <w:lang w:val="en-US" w:eastAsia="zh-CN"/>
        </w:rPr>
        <w:t>4.1.2.3水分</w:t>
      </w:r>
      <w:r>
        <w:rPr>
          <w:rFonts w:hint="eastAsia" w:ascii="仿宋" w:hAnsi="仿宋" w:eastAsia="仿宋" w:cs="仿宋"/>
          <w:b/>
          <w:bCs/>
          <w:color w:val="auto"/>
          <w:sz w:val="32"/>
          <w:szCs w:val="32"/>
          <w:highlight w:val="none"/>
          <w:u w:val="none"/>
          <w:lang w:val="en-US" w:eastAsia="zh-CN" w:bidi="ar-SA"/>
        </w:rPr>
        <w:t>调整价</w:t>
      </w:r>
    </w:p>
    <w:tbl>
      <w:tblPr>
        <w:tblStyle w:val="10"/>
        <w:tblW w:w="5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8"/>
        <w:gridCol w:w="6615"/>
      </w:tblGrid>
      <w:tr w14:paraId="07D92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534" w:type="pct"/>
            <w:noWrap w:val="0"/>
            <w:vAlign w:val="center"/>
          </w:tcPr>
          <w:p w14:paraId="6027B1D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指标范围</w:t>
            </w:r>
          </w:p>
        </w:tc>
        <w:tc>
          <w:tcPr>
            <w:tcW w:w="3465" w:type="pct"/>
            <w:noWrap w:val="0"/>
            <w:vAlign w:val="center"/>
          </w:tcPr>
          <w:p w14:paraId="7F33A4E7">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default" w:ascii="仿宋" w:hAnsi="仿宋" w:eastAsia="仿宋" w:cs="仿宋"/>
                <w:b/>
                <w:bCs w:val="0"/>
                <w:color w:val="auto"/>
                <w:kern w:val="2"/>
                <w:sz w:val="28"/>
                <w:szCs w:val="28"/>
                <w:highlight w:val="none"/>
                <w:lang w:val="en-US" w:eastAsia="zh-CN" w:bidi="ar-SA"/>
              </w:rPr>
            </w:pPr>
            <w:r>
              <w:rPr>
                <w:rFonts w:hint="eastAsia" w:ascii="仿宋" w:hAnsi="仿宋" w:eastAsia="仿宋" w:cs="仿宋"/>
                <w:b/>
                <w:bCs w:val="0"/>
                <w:color w:val="auto"/>
                <w:sz w:val="28"/>
                <w:szCs w:val="28"/>
                <w:highlight w:val="none"/>
                <w:lang w:val="en-US" w:eastAsia="zh-CN"/>
              </w:rPr>
              <w:t>水分调整价</w:t>
            </w:r>
          </w:p>
        </w:tc>
      </w:tr>
      <w:tr w14:paraId="59911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534" w:type="pct"/>
            <w:noWrap w:val="0"/>
            <w:vAlign w:val="center"/>
          </w:tcPr>
          <w:p w14:paraId="72035CFA">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u w:val="none"/>
                <w:lang w:val="en-US" w:eastAsia="zh-CN"/>
              </w:rPr>
              <w:t>当结算全水分&gt;</w:t>
            </w:r>
          </w:p>
          <w:p w14:paraId="361477B5">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u w:val="single"/>
                <w:lang w:val="en-US" w:eastAsia="zh-CN"/>
              </w:rPr>
              <w:t>19</w:t>
            </w:r>
            <w:r>
              <w:rPr>
                <w:rFonts w:hint="eastAsia" w:ascii="仿宋" w:hAnsi="仿宋" w:eastAsia="仿宋" w:cs="仿宋"/>
                <w:bCs/>
                <w:color w:val="auto"/>
                <w:sz w:val="28"/>
                <w:szCs w:val="28"/>
                <w:highlight w:val="none"/>
                <w:u w:val="none"/>
                <w:lang w:val="en-US" w:eastAsia="zh-CN"/>
              </w:rPr>
              <w:t xml:space="preserve"> %</w:t>
            </w:r>
          </w:p>
        </w:tc>
        <w:tc>
          <w:tcPr>
            <w:tcW w:w="3465" w:type="pct"/>
            <w:noWrap w:val="0"/>
            <w:vAlign w:val="center"/>
          </w:tcPr>
          <w:p w14:paraId="4880FA25">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仿宋"/>
                <w:bCs/>
                <w:color w:val="auto"/>
                <w:kern w:val="2"/>
                <w:sz w:val="28"/>
                <w:szCs w:val="28"/>
                <w:highlight w:val="none"/>
                <w:lang w:val="en-US" w:eastAsia="zh-CN" w:bidi="ar-SA"/>
              </w:rPr>
            </w:pPr>
            <w:r>
              <w:rPr>
                <w:rFonts w:hint="eastAsia" w:ascii="仿宋" w:hAnsi="仿宋" w:eastAsia="仿宋" w:cs="仿宋"/>
                <w:bCs/>
                <w:color w:val="auto"/>
                <w:sz w:val="28"/>
                <w:szCs w:val="28"/>
                <w:highlight w:val="none"/>
                <w:lang w:val="en-US" w:eastAsia="zh-CN"/>
              </w:rPr>
              <w:t>每较</w:t>
            </w:r>
            <w:r>
              <w:rPr>
                <w:rFonts w:hint="eastAsia" w:ascii="仿宋" w:hAnsi="仿宋" w:eastAsia="仿宋" w:cs="仿宋"/>
                <w:bCs/>
                <w:color w:val="auto"/>
                <w:sz w:val="28"/>
                <w:szCs w:val="28"/>
                <w:highlight w:val="none"/>
                <w:u w:val="single"/>
                <w:lang w:val="en-US" w:eastAsia="zh-CN"/>
              </w:rPr>
              <w:t>合同全水分</w:t>
            </w:r>
            <w:r>
              <w:rPr>
                <w:rFonts w:hint="eastAsia" w:ascii="仿宋" w:hAnsi="仿宋" w:eastAsia="仿宋" w:cs="仿宋"/>
                <w:bCs/>
                <w:color w:val="auto"/>
                <w:sz w:val="28"/>
                <w:szCs w:val="28"/>
                <w:highlight w:val="none"/>
                <w:u w:val="none"/>
                <w:lang w:val="en-US" w:eastAsia="zh-CN"/>
              </w:rPr>
              <w:t>%</w:t>
            </w:r>
            <w:r>
              <w:rPr>
                <w:rFonts w:hint="eastAsia" w:ascii="仿宋" w:hAnsi="仿宋" w:eastAsia="仿宋" w:cs="仿宋"/>
                <w:bCs/>
                <w:color w:val="auto"/>
                <w:sz w:val="28"/>
                <w:szCs w:val="28"/>
                <w:highlight w:val="none"/>
                <w:lang w:val="en-US" w:eastAsia="zh-CN"/>
              </w:rPr>
              <w:t>升高0.1%，考核</w:t>
            </w:r>
            <w:r>
              <w:rPr>
                <w:rFonts w:hint="eastAsia" w:ascii="仿宋" w:hAnsi="仿宋" w:eastAsia="仿宋" w:cs="仿宋"/>
                <w:bCs/>
                <w:color w:val="auto"/>
                <w:sz w:val="28"/>
                <w:szCs w:val="28"/>
                <w:highlight w:val="none"/>
                <w:u w:val="none"/>
                <w:lang w:val="en-US" w:eastAsia="zh-CN"/>
              </w:rPr>
              <w:t xml:space="preserve"> 0.2 </w:t>
            </w:r>
            <w:r>
              <w:rPr>
                <w:rFonts w:hint="eastAsia" w:ascii="仿宋" w:hAnsi="仿宋" w:eastAsia="仿宋" w:cs="仿宋"/>
                <w:bCs/>
                <w:color w:val="auto"/>
                <w:sz w:val="28"/>
                <w:szCs w:val="28"/>
                <w:highlight w:val="none"/>
                <w:lang w:val="en-US" w:eastAsia="zh-CN"/>
              </w:rPr>
              <w:t>元/吨。全水分</w:t>
            </w:r>
            <w:r>
              <w:rPr>
                <w:rFonts w:hint="eastAsia" w:ascii="仿宋" w:hAnsi="仿宋" w:eastAsia="仿宋" w:cs="仿宋"/>
                <w:bCs/>
                <w:color w:val="auto"/>
                <w:sz w:val="28"/>
                <w:szCs w:val="28"/>
                <w:highlight w:val="none"/>
              </w:rPr>
              <w:t>调整价=</w:t>
            </w:r>
            <w:r>
              <w:rPr>
                <w:rFonts w:hint="eastAsia" w:ascii="仿宋_GB2312" w:hAnsi="仿宋_GB2312" w:eastAsia="仿宋_GB2312" w:cs="仿宋_GB2312"/>
                <w:bCs/>
                <w:color w:val="auto"/>
                <w:sz w:val="28"/>
                <w:szCs w:val="28"/>
                <w:highlight w:val="none"/>
                <w:u w:val="single"/>
                <w:lang w:val="en-US" w:eastAsia="zh-CN"/>
              </w:rPr>
              <w:t>〔</w:t>
            </w:r>
            <w:r>
              <w:rPr>
                <w:rFonts w:hint="eastAsia" w:ascii="仿宋" w:hAnsi="仿宋" w:eastAsia="仿宋" w:cs="仿宋"/>
                <w:bCs/>
                <w:color w:val="auto"/>
                <w:sz w:val="28"/>
                <w:szCs w:val="28"/>
                <w:highlight w:val="none"/>
                <w:u w:val="single"/>
                <w:lang w:val="en-US" w:eastAsia="zh-CN"/>
              </w:rPr>
              <w:t>0.2*</w:t>
            </w:r>
            <w:r>
              <w:rPr>
                <w:rFonts w:hint="eastAsia" w:ascii="仿宋" w:hAnsi="仿宋" w:eastAsia="仿宋" w:cs="仿宋"/>
                <w:bCs/>
                <w:color w:val="auto"/>
                <w:sz w:val="28"/>
                <w:szCs w:val="28"/>
                <w:highlight w:val="none"/>
                <w:u w:val="single"/>
              </w:rPr>
              <w:t>（合同</w:t>
            </w:r>
            <w:r>
              <w:rPr>
                <w:rFonts w:hint="eastAsia" w:ascii="仿宋" w:hAnsi="仿宋" w:eastAsia="仿宋" w:cs="仿宋"/>
                <w:bCs/>
                <w:color w:val="auto"/>
                <w:sz w:val="28"/>
                <w:szCs w:val="28"/>
                <w:highlight w:val="none"/>
                <w:u w:val="single"/>
                <w:lang w:val="en-US" w:eastAsia="zh-CN"/>
              </w:rPr>
              <w:t>全水分</w:t>
            </w:r>
            <w:r>
              <w:rPr>
                <w:rFonts w:hint="eastAsia" w:ascii="仿宋" w:hAnsi="仿宋" w:eastAsia="仿宋" w:cs="仿宋"/>
                <w:bCs/>
                <w:color w:val="auto"/>
                <w:sz w:val="28"/>
                <w:szCs w:val="28"/>
                <w:highlight w:val="none"/>
                <w:u w:val="single"/>
              </w:rPr>
              <w:t>-结算</w:t>
            </w:r>
            <w:r>
              <w:rPr>
                <w:rFonts w:hint="eastAsia" w:ascii="仿宋" w:hAnsi="仿宋" w:eastAsia="仿宋" w:cs="仿宋"/>
                <w:bCs/>
                <w:color w:val="auto"/>
                <w:sz w:val="28"/>
                <w:szCs w:val="28"/>
                <w:highlight w:val="none"/>
                <w:u w:val="single"/>
                <w:lang w:val="en-US" w:eastAsia="zh-CN"/>
              </w:rPr>
              <w:t>全水分</w:t>
            </w:r>
            <w:r>
              <w:rPr>
                <w:rFonts w:hint="eastAsia" w:ascii="仿宋" w:hAnsi="仿宋" w:eastAsia="仿宋" w:cs="仿宋"/>
                <w:bCs/>
                <w:color w:val="auto"/>
                <w:sz w:val="28"/>
                <w:szCs w:val="28"/>
                <w:highlight w:val="none"/>
                <w:u w:val="single"/>
              </w:rPr>
              <w:t>）</w:t>
            </w:r>
            <w:r>
              <w:rPr>
                <w:rFonts w:hint="eastAsia" w:ascii="仿宋" w:hAnsi="仿宋" w:eastAsia="仿宋" w:cs="仿宋"/>
                <w:bCs/>
                <w:color w:val="auto"/>
                <w:sz w:val="28"/>
                <w:szCs w:val="28"/>
                <w:highlight w:val="none"/>
                <w:u w:val="single"/>
                <w:lang w:val="en-US" w:eastAsia="zh-CN"/>
              </w:rPr>
              <w:t>/0.1</w:t>
            </w:r>
            <w:r>
              <w:rPr>
                <w:rFonts w:hint="eastAsia" w:ascii="仿宋_GB2312" w:hAnsi="仿宋_GB2312" w:eastAsia="仿宋_GB2312" w:cs="仿宋_GB2312"/>
                <w:bCs/>
                <w:color w:val="auto"/>
                <w:sz w:val="28"/>
                <w:szCs w:val="28"/>
                <w:highlight w:val="none"/>
                <w:u w:val="single"/>
                <w:lang w:val="en-US" w:eastAsia="zh-CN"/>
              </w:rPr>
              <w:t>〕</w:t>
            </w:r>
            <w:r>
              <w:rPr>
                <w:rFonts w:hint="eastAsia" w:ascii="仿宋_GB2312" w:hAnsi="仿宋_GB2312" w:eastAsia="仿宋_GB2312" w:cs="仿宋_GB2312"/>
                <w:bCs/>
                <w:color w:val="auto"/>
                <w:sz w:val="28"/>
                <w:szCs w:val="28"/>
                <w:highlight w:val="none"/>
                <w:u w:val="none"/>
                <w:lang w:val="en-US" w:eastAsia="zh-CN"/>
              </w:rPr>
              <w:t>元/吨</w:t>
            </w:r>
          </w:p>
        </w:tc>
      </w:tr>
    </w:tbl>
    <w:p w14:paraId="2B396474">
      <w:pPr>
        <w:shd w:val="clear" w:fill="FFFFFF" w:themeFill="background1"/>
        <w:ind w:firstLine="643" w:firstLineChars="200"/>
        <w:rPr>
          <w:rFonts w:hint="eastAsia" w:ascii="仿宋" w:hAnsi="仿宋" w:eastAsia="仿宋" w:cs="仿宋"/>
          <w:b/>
          <w:bCs/>
          <w:color w:val="auto"/>
          <w:sz w:val="32"/>
          <w:szCs w:val="32"/>
          <w:highlight w:val="none"/>
          <w:vertAlign w:val="baseline"/>
          <w:lang w:val="en-US" w:eastAsia="zh-CN"/>
        </w:rPr>
      </w:pPr>
      <w:r>
        <w:rPr>
          <w:rFonts w:hint="eastAsia" w:ascii="仿宋" w:hAnsi="仿宋" w:eastAsia="仿宋" w:cs="仿宋"/>
          <w:b/>
          <w:bCs/>
          <w:color w:val="auto"/>
          <w:sz w:val="32"/>
          <w:szCs w:val="32"/>
          <w:highlight w:val="none"/>
          <w:lang w:val="en-US" w:eastAsia="zh-CN"/>
        </w:rPr>
        <w:t>4.1.3 质量考核金额</w:t>
      </w:r>
    </w:p>
    <w:tbl>
      <w:tblPr>
        <w:tblStyle w:val="11"/>
        <w:tblW w:w="9670" w:type="dxa"/>
        <w:tblInd w:w="-5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2"/>
        <w:gridCol w:w="3681"/>
        <w:gridCol w:w="2857"/>
      </w:tblGrid>
      <w:tr w14:paraId="67E2B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tcPr>
          <w:p w14:paraId="7CF775CC">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指标范围</w:t>
            </w:r>
          </w:p>
        </w:tc>
        <w:tc>
          <w:tcPr>
            <w:tcW w:w="3681" w:type="dxa"/>
          </w:tcPr>
          <w:p w14:paraId="25B8FF77">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考核金额</w:t>
            </w:r>
          </w:p>
        </w:tc>
        <w:tc>
          <w:tcPr>
            <w:tcW w:w="2857" w:type="dxa"/>
          </w:tcPr>
          <w:p w14:paraId="6A0C79B4">
            <w:pPr>
              <w:shd w:val="clear" w:fill="FFFFFF" w:themeFill="background1"/>
              <w:adjustRightInd w:val="0"/>
              <w:snapToGrid w:val="0"/>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备注</w:t>
            </w:r>
          </w:p>
        </w:tc>
      </w:tr>
      <w:tr w14:paraId="71E90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Align w:val="center"/>
          </w:tcPr>
          <w:p w14:paraId="1464F95E">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color w:val="auto"/>
                <w:sz w:val="28"/>
                <w:szCs w:val="28"/>
                <w:highlight w:val="none"/>
                <w:lang w:val="en-US" w:eastAsia="zh-CN"/>
              </w:rPr>
              <w:t>单批次发热量&lt;</w:t>
            </w:r>
          </w:p>
          <w:p w14:paraId="500343BA">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u w:val="single"/>
                <w:lang w:val="en-US" w:eastAsia="zh-CN"/>
              </w:rPr>
              <w:t>（基准热值-3）</w:t>
            </w:r>
            <w:r>
              <w:rPr>
                <w:rFonts w:hint="eastAsia" w:ascii="仿宋" w:hAnsi="仿宋" w:eastAsia="仿宋" w:cs="仿宋"/>
                <w:bCs/>
                <w:color w:val="auto"/>
                <w:sz w:val="28"/>
                <w:szCs w:val="28"/>
                <w:highlight w:val="none"/>
                <w:lang w:val="en-US" w:eastAsia="zh-CN"/>
              </w:rPr>
              <w:t>MJ/kg</w:t>
            </w:r>
          </w:p>
        </w:tc>
        <w:tc>
          <w:tcPr>
            <w:tcW w:w="3681" w:type="dxa"/>
            <w:vAlign w:val="center"/>
          </w:tcPr>
          <w:p w14:paraId="3D1A7655">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vertAlign w:val="baseline"/>
                <w:lang w:val="en-US" w:eastAsia="zh-CN"/>
              </w:rPr>
              <w:t>单批次数量</w:t>
            </w:r>
            <w:r>
              <w:rPr>
                <w:rFonts w:hint="eastAsia" w:ascii="仿宋" w:hAnsi="仿宋" w:eastAsia="仿宋" w:cs="仿宋"/>
                <w:bCs/>
                <w:color w:val="auto"/>
                <w:sz w:val="28"/>
                <w:szCs w:val="28"/>
                <w:highlight w:val="none"/>
                <w:u w:val="none"/>
                <w:lang w:val="en-US" w:eastAsia="zh-CN"/>
              </w:rPr>
              <w:t>×50</w:t>
            </w:r>
            <w:r>
              <w:rPr>
                <w:rFonts w:hint="eastAsia" w:ascii="仿宋_GB2312" w:hAnsi="仿宋_GB2312" w:eastAsia="仿宋_GB2312" w:cs="仿宋_GB2312"/>
                <w:bCs/>
                <w:color w:val="auto"/>
                <w:sz w:val="28"/>
                <w:szCs w:val="28"/>
                <w:highlight w:val="none"/>
                <w:u w:val="none"/>
                <w:lang w:val="en-US" w:eastAsia="zh-CN"/>
              </w:rPr>
              <w:t>元/吨</w:t>
            </w:r>
          </w:p>
        </w:tc>
        <w:tc>
          <w:tcPr>
            <w:tcW w:w="2857" w:type="dxa"/>
            <w:vMerge w:val="restart"/>
            <w:vAlign w:val="center"/>
          </w:tcPr>
          <w:p w14:paraId="14B9F3E9">
            <w:pPr>
              <w:shd w:val="clear" w:fill="FFFFFF" w:themeFill="background1"/>
              <w:autoSpaceDE/>
              <w:adjustRightInd w:val="0"/>
              <w:snapToGrid w:val="0"/>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rPr>
              <w:t>该批次煤</w:t>
            </w:r>
            <w:r>
              <w:rPr>
                <w:rFonts w:hint="eastAsia" w:ascii="仿宋" w:hAnsi="仿宋" w:eastAsia="仿宋" w:cs="仿宋"/>
                <w:bCs/>
                <w:color w:val="auto"/>
                <w:sz w:val="28"/>
                <w:szCs w:val="28"/>
                <w:highlight w:val="none"/>
                <w:lang w:val="en-US" w:eastAsia="zh-CN"/>
              </w:rPr>
              <w:t>指标</w:t>
            </w:r>
            <w:r>
              <w:rPr>
                <w:rFonts w:hint="eastAsia" w:ascii="仿宋" w:hAnsi="仿宋" w:eastAsia="仿宋" w:cs="仿宋"/>
                <w:bCs/>
                <w:color w:val="auto"/>
                <w:sz w:val="28"/>
                <w:szCs w:val="28"/>
                <w:highlight w:val="none"/>
              </w:rPr>
              <w:t>仍计入结算周期内加权结算。</w:t>
            </w:r>
          </w:p>
        </w:tc>
      </w:tr>
      <w:tr w14:paraId="07C20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2" w:type="dxa"/>
            <w:vAlign w:val="center"/>
          </w:tcPr>
          <w:p w14:paraId="50AC0B1C">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color w:val="auto"/>
                <w:sz w:val="28"/>
                <w:szCs w:val="28"/>
                <w:highlight w:val="none"/>
                <w:u w:val="none"/>
                <w:lang w:val="en-US" w:eastAsia="zh-CN"/>
              </w:rPr>
            </w:pPr>
            <w:r>
              <w:rPr>
                <w:rFonts w:hint="eastAsia" w:ascii="仿宋" w:hAnsi="仿宋" w:eastAsia="仿宋" w:cs="仿宋"/>
                <w:bCs/>
                <w:sz w:val="28"/>
                <w:szCs w:val="28"/>
                <w:highlight w:val="none"/>
                <w:lang w:val="en-US" w:eastAsia="zh-CN"/>
              </w:rPr>
              <w:t>单批次</w:t>
            </w:r>
            <w:r>
              <w:rPr>
                <w:rFonts w:hint="eastAsia" w:ascii="仿宋" w:hAnsi="仿宋" w:eastAsia="仿宋" w:cs="仿宋"/>
                <w:bCs/>
                <w:color w:val="auto"/>
                <w:sz w:val="28"/>
                <w:szCs w:val="28"/>
                <w:highlight w:val="none"/>
                <w:u w:val="none"/>
                <w:lang w:val="en-US" w:eastAsia="zh-CN"/>
              </w:rPr>
              <w:t>干燥基全硫&gt;</w:t>
            </w:r>
          </w:p>
          <w:p w14:paraId="4BC266B3">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u w:val="single"/>
                <w:lang w:val="en-US" w:eastAsia="zh-CN"/>
              </w:rPr>
              <w:t>（合同硫分）</w:t>
            </w:r>
            <w:r>
              <w:rPr>
                <w:rFonts w:hint="eastAsia" w:ascii="仿宋" w:hAnsi="仿宋" w:eastAsia="仿宋" w:cs="仿宋"/>
                <w:bCs/>
                <w:sz w:val="28"/>
                <w:szCs w:val="28"/>
                <w:highlight w:val="none"/>
                <w:u w:val="single"/>
                <w:lang w:val="en-US" w:eastAsia="zh-CN"/>
              </w:rPr>
              <w:t>+0.3</w:t>
            </w:r>
            <w:r>
              <w:rPr>
                <w:rFonts w:hint="eastAsia" w:ascii="仿宋" w:hAnsi="仿宋" w:eastAsia="仿宋" w:cs="仿宋"/>
                <w:bCs/>
                <w:color w:val="auto"/>
                <w:sz w:val="28"/>
                <w:szCs w:val="28"/>
                <w:highlight w:val="none"/>
                <w:u w:val="none"/>
                <w:lang w:val="en-US" w:eastAsia="zh-CN"/>
              </w:rPr>
              <w:t xml:space="preserve"> %</w:t>
            </w:r>
          </w:p>
        </w:tc>
        <w:tc>
          <w:tcPr>
            <w:tcW w:w="3681" w:type="dxa"/>
            <w:vAlign w:val="center"/>
          </w:tcPr>
          <w:p w14:paraId="1D077499">
            <w:pPr>
              <w:shd w:val="clear" w:fill="FFFFFF" w:themeFill="background1"/>
              <w:adjustRightInd w:val="0"/>
              <w:snapToGrid w:val="0"/>
              <w:jc w:val="center"/>
              <w:rPr>
                <w:rFonts w:hint="eastAsia" w:ascii="仿宋" w:hAnsi="仿宋" w:eastAsia="仿宋" w:cs="仿宋"/>
                <w:bCs/>
                <w:color w:val="auto"/>
                <w:sz w:val="28"/>
                <w:szCs w:val="28"/>
                <w:highlight w:val="none"/>
                <w:vertAlign w:val="baseline"/>
                <w:lang w:val="en-US" w:eastAsia="zh-CN"/>
              </w:rPr>
            </w:pPr>
            <w:r>
              <w:rPr>
                <w:rFonts w:hint="eastAsia" w:ascii="仿宋" w:hAnsi="仿宋" w:eastAsia="仿宋" w:cs="仿宋"/>
                <w:bCs/>
                <w:color w:val="auto"/>
                <w:sz w:val="28"/>
                <w:szCs w:val="28"/>
                <w:highlight w:val="none"/>
                <w:vertAlign w:val="baseline"/>
                <w:lang w:val="en-US" w:eastAsia="zh-CN"/>
              </w:rPr>
              <w:t>单批次数量</w:t>
            </w:r>
            <w:r>
              <w:rPr>
                <w:rFonts w:hint="eastAsia" w:ascii="仿宋" w:hAnsi="仿宋" w:eastAsia="仿宋" w:cs="仿宋"/>
                <w:bCs/>
                <w:color w:val="auto"/>
                <w:sz w:val="28"/>
                <w:szCs w:val="28"/>
                <w:highlight w:val="none"/>
                <w:u w:val="none"/>
                <w:lang w:val="en-US" w:eastAsia="zh-CN"/>
              </w:rPr>
              <w:t>×20</w:t>
            </w:r>
            <w:r>
              <w:rPr>
                <w:rFonts w:hint="eastAsia" w:ascii="仿宋_GB2312" w:hAnsi="仿宋_GB2312" w:eastAsia="仿宋_GB2312" w:cs="仿宋_GB2312"/>
                <w:bCs/>
                <w:color w:val="auto"/>
                <w:sz w:val="28"/>
                <w:szCs w:val="28"/>
                <w:highlight w:val="none"/>
                <w:u w:val="none"/>
                <w:lang w:val="en-US" w:eastAsia="zh-CN"/>
              </w:rPr>
              <w:t>元/吨</w:t>
            </w:r>
          </w:p>
        </w:tc>
        <w:tc>
          <w:tcPr>
            <w:tcW w:w="2857" w:type="dxa"/>
            <w:vMerge w:val="continue"/>
            <w:vAlign w:val="center"/>
          </w:tcPr>
          <w:p w14:paraId="15E01381">
            <w:pPr>
              <w:shd w:val="clear" w:fill="FFFFFF" w:themeFill="background1"/>
              <w:jc w:val="center"/>
              <w:rPr>
                <w:rFonts w:hint="eastAsia" w:ascii="仿宋" w:hAnsi="仿宋" w:eastAsia="仿宋" w:cs="仿宋"/>
                <w:color w:val="auto"/>
                <w:sz w:val="28"/>
                <w:szCs w:val="28"/>
                <w:highlight w:val="none"/>
                <w:vertAlign w:val="baseline"/>
                <w:lang w:val="en-US" w:eastAsia="zh-CN"/>
              </w:rPr>
            </w:pPr>
          </w:p>
        </w:tc>
      </w:tr>
    </w:tbl>
    <w:p w14:paraId="64D5BD5E">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rPr>
          <w:rFonts w:hint="default"/>
          <w:b/>
          <w:bCs/>
          <w:color w:val="auto"/>
          <w:highlight w:val="none"/>
          <w:lang w:val="en-US" w:eastAsia="zh-CN"/>
        </w:rPr>
      </w:pPr>
      <w:r>
        <w:rPr>
          <w:rFonts w:hint="eastAsia" w:ascii="仿宋" w:hAnsi="仿宋" w:eastAsia="仿宋" w:cs="仿宋"/>
          <w:b/>
          <w:bCs/>
          <w:color w:val="auto"/>
          <w:sz w:val="32"/>
          <w:szCs w:val="32"/>
          <w:highlight w:val="none"/>
          <w:lang w:val="en-US" w:eastAsia="zh-CN"/>
        </w:rPr>
        <w:t>4.1.4 履约率考核金额</w:t>
      </w:r>
    </w:p>
    <w:tbl>
      <w:tblPr>
        <w:tblStyle w:val="11"/>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6"/>
        <w:gridCol w:w="6897"/>
      </w:tblGrid>
      <w:tr w14:paraId="432CA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2736" w:type="dxa"/>
            <w:shd w:val="clear" w:color="auto" w:fill="auto"/>
            <w:noWrap w:val="0"/>
            <w:vAlign w:val="center"/>
          </w:tcPr>
          <w:p w14:paraId="5368A8D6">
            <w:pPr>
              <w:shd w:val="clear" w:fill="FFFFFF" w:themeFill="background1"/>
              <w:snapToGrid w:val="0"/>
              <w:spacing w:line="560" w:lineRule="exact"/>
              <w:jc w:val="center"/>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合同履约率</w:t>
            </w:r>
          </w:p>
        </w:tc>
        <w:tc>
          <w:tcPr>
            <w:tcW w:w="6897" w:type="dxa"/>
            <w:shd w:val="clear" w:color="auto" w:fill="auto"/>
            <w:noWrap w:val="0"/>
            <w:vAlign w:val="center"/>
          </w:tcPr>
          <w:p w14:paraId="554DB2B1">
            <w:pPr>
              <w:shd w:val="clear" w:fill="FFFFFF" w:themeFill="background1"/>
              <w:snapToGrid w:val="0"/>
              <w:spacing w:line="560" w:lineRule="exact"/>
              <w:jc w:val="center"/>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考核金额</w:t>
            </w:r>
          </w:p>
        </w:tc>
      </w:tr>
      <w:tr w14:paraId="0BE0C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6" w:type="dxa"/>
            <w:shd w:val="clear" w:color="auto" w:fill="auto"/>
            <w:noWrap w:val="0"/>
            <w:vAlign w:val="center"/>
          </w:tcPr>
          <w:p w14:paraId="6C05BA4D">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kern w:val="2"/>
                <w:sz w:val="28"/>
                <w:szCs w:val="28"/>
                <w:highlight w:val="none"/>
                <w:lang w:val="en-US" w:eastAsia="zh-CN" w:bidi="ar-SA"/>
              </w:rPr>
            </w:pPr>
            <w:r>
              <w:rPr>
                <w:rFonts w:hint="eastAsia" w:ascii="仿宋" w:hAnsi="仿宋" w:eastAsia="仿宋" w:cs="仿宋"/>
                <w:bCs/>
                <w:sz w:val="28"/>
                <w:szCs w:val="28"/>
                <w:highlight w:val="none"/>
                <w:lang w:val="en-US" w:eastAsia="zh-CN"/>
              </w:rPr>
              <w:t>当合同履约率＞110%</w:t>
            </w:r>
          </w:p>
        </w:tc>
        <w:tc>
          <w:tcPr>
            <w:tcW w:w="6897" w:type="dxa"/>
            <w:shd w:val="clear" w:color="auto" w:fill="auto"/>
            <w:noWrap w:val="0"/>
            <w:vAlign w:val="center"/>
          </w:tcPr>
          <w:p w14:paraId="34A57D05">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kern w:val="2"/>
                <w:sz w:val="28"/>
                <w:szCs w:val="28"/>
                <w:highlight w:val="none"/>
                <w:lang w:val="en-US" w:eastAsia="zh-CN" w:bidi="ar-SA"/>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u w:val="none"/>
                <w:lang w:val="en-US" w:eastAsia="zh-CN"/>
              </w:rPr>
              <w:t>（到厂验收量-合同量×110%）×合同基准价格×20%</w:t>
            </w:r>
            <w:r>
              <w:rPr>
                <w:rFonts w:hint="eastAsia" w:ascii="仿宋_GB2312" w:hAnsi="仿宋_GB2312" w:eastAsia="仿宋_GB2312" w:cs="仿宋_GB2312"/>
                <w:bCs/>
                <w:color w:val="auto"/>
                <w:sz w:val="28"/>
                <w:szCs w:val="28"/>
                <w:highlight w:val="none"/>
                <w:u w:val="none"/>
                <w:lang w:val="en-US" w:eastAsia="zh-CN"/>
              </w:rPr>
              <w:t>〕元/吨</w:t>
            </w:r>
          </w:p>
        </w:tc>
      </w:tr>
      <w:tr w14:paraId="000FC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14:paraId="5C61EC57">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90%≤当合同履约率≤110%</w:t>
            </w:r>
          </w:p>
        </w:tc>
        <w:tc>
          <w:tcPr>
            <w:tcW w:w="6897" w:type="dxa"/>
            <w:shd w:val="clear" w:color="auto" w:fill="auto"/>
            <w:noWrap w:val="0"/>
            <w:vAlign w:val="center"/>
          </w:tcPr>
          <w:p w14:paraId="451E209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不考核</w:t>
            </w:r>
          </w:p>
        </w:tc>
      </w:tr>
      <w:tr w14:paraId="025FF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14:paraId="02B90A60">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20%＜当合同履约率＜90%</w:t>
            </w:r>
          </w:p>
        </w:tc>
        <w:tc>
          <w:tcPr>
            <w:tcW w:w="6897" w:type="dxa"/>
            <w:shd w:val="clear" w:color="auto" w:fill="auto"/>
            <w:noWrap w:val="0"/>
            <w:vAlign w:val="center"/>
          </w:tcPr>
          <w:p w14:paraId="7DAA3FF6">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lang w:val="en-US" w:eastAsia="zh-CN"/>
              </w:rPr>
              <w:t>（合同量-到厂验收量）×合同基准价格×5%</w:t>
            </w:r>
            <w:r>
              <w:rPr>
                <w:rFonts w:hint="eastAsia" w:ascii="仿宋_GB2312" w:hAnsi="仿宋_GB2312" w:eastAsia="仿宋_GB2312" w:cs="仿宋_GB2312"/>
                <w:bCs/>
                <w:color w:val="auto"/>
                <w:sz w:val="28"/>
                <w:szCs w:val="28"/>
                <w:highlight w:val="none"/>
                <w:u w:val="none"/>
                <w:lang w:val="en-US" w:eastAsia="zh-CN"/>
              </w:rPr>
              <w:t>〕元/吨</w:t>
            </w:r>
          </w:p>
        </w:tc>
      </w:tr>
      <w:tr w14:paraId="3164D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36" w:type="dxa"/>
            <w:shd w:val="clear" w:color="auto" w:fill="auto"/>
            <w:noWrap w:val="0"/>
            <w:vAlign w:val="center"/>
          </w:tcPr>
          <w:p w14:paraId="5422787D">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当合同履约率≤20%</w:t>
            </w:r>
          </w:p>
        </w:tc>
        <w:tc>
          <w:tcPr>
            <w:tcW w:w="6897" w:type="dxa"/>
            <w:shd w:val="clear" w:color="auto" w:fill="auto"/>
            <w:noWrap w:val="0"/>
            <w:vAlign w:val="center"/>
          </w:tcPr>
          <w:p w14:paraId="1667D94B">
            <w:pPr>
              <w:keepNext w:val="0"/>
              <w:keepLines w:val="0"/>
              <w:pageBreakBefore w:val="0"/>
              <w:widowControl w:val="0"/>
              <w:shd w:val="clear" w:fill="FFFFFF" w:themeFill="background1"/>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Cs/>
                <w:sz w:val="28"/>
                <w:szCs w:val="28"/>
                <w:highlight w:val="none"/>
                <w:lang w:val="en-US" w:eastAsia="zh-CN"/>
              </w:rPr>
            </w:pPr>
            <w:r>
              <w:rPr>
                <w:rFonts w:hint="eastAsia" w:ascii="仿宋_GB2312" w:hAnsi="仿宋_GB2312" w:eastAsia="仿宋_GB2312" w:cs="仿宋_GB2312"/>
                <w:bCs/>
                <w:color w:val="auto"/>
                <w:sz w:val="28"/>
                <w:szCs w:val="28"/>
                <w:highlight w:val="none"/>
                <w:u w:val="none"/>
                <w:lang w:val="en-US" w:eastAsia="zh-CN"/>
              </w:rPr>
              <w:t>〔</w:t>
            </w:r>
            <w:r>
              <w:rPr>
                <w:rFonts w:hint="eastAsia" w:ascii="仿宋" w:hAnsi="仿宋" w:eastAsia="仿宋" w:cs="仿宋"/>
                <w:bCs/>
                <w:sz w:val="28"/>
                <w:szCs w:val="28"/>
                <w:highlight w:val="none"/>
                <w:lang w:val="en-US" w:eastAsia="zh-CN"/>
              </w:rPr>
              <w:t>（合同量-到厂验收量）×合同基准价格×5%</w:t>
            </w:r>
            <w:r>
              <w:rPr>
                <w:rFonts w:hint="eastAsia" w:ascii="仿宋_GB2312" w:hAnsi="仿宋_GB2312" w:eastAsia="仿宋_GB2312" w:cs="仿宋_GB2312"/>
                <w:bCs/>
                <w:color w:val="auto"/>
                <w:sz w:val="28"/>
                <w:szCs w:val="28"/>
                <w:highlight w:val="none"/>
                <w:u w:val="none"/>
                <w:lang w:val="en-US" w:eastAsia="zh-CN"/>
              </w:rPr>
              <w:t>〕元/吨</w:t>
            </w:r>
            <w:r>
              <w:rPr>
                <w:rFonts w:hint="eastAsia" w:ascii="仿宋" w:hAnsi="仿宋" w:eastAsia="仿宋" w:cs="仿宋"/>
                <w:bCs/>
                <w:sz w:val="28"/>
                <w:szCs w:val="28"/>
                <w:highlight w:val="none"/>
                <w:lang w:val="en-US" w:eastAsia="zh-CN"/>
              </w:rPr>
              <w:t>，同时扣除全部履约保证金</w:t>
            </w:r>
          </w:p>
        </w:tc>
      </w:tr>
      <w:tr w14:paraId="66EE9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9633" w:type="dxa"/>
            <w:gridSpan w:val="2"/>
            <w:shd w:val="clear" w:color="auto" w:fill="auto"/>
            <w:noWrap w:val="0"/>
            <w:vAlign w:val="center"/>
          </w:tcPr>
          <w:p w14:paraId="003BD4EF">
            <w:pPr>
              <w:keepNext w:val="0"/>
              <w:keepLines w:val="0"/>
              <w:pageBreakBefore w:val="0"/>
              <w:widowControl w:val="0"/>
              <w:shd w:val="clear" w:fill="FFFFFF" w:themeFill="background1"/>
              <w:kinsoku/>
              <w:wordWrap/>
              <w:overflowPunct/>
              <w:topLinePunct w:val="0"/>
              <w:autoSpaceDE/>
              <w:autoSpaceDN/>
              <w:bidi w:val="0"/>
              <w:adjustRightInd/>
              <w:snapToGrid w:val="0"/>
              <w:spacing w:line="240" w:lineRule="auto"/>
              <w:jc w:val="left"/>
              <w:textAlignment w:val="auto"/>
              <w:rPr>
                <w:rFonts w:hint="eastAsia" w:ascii="仿宋" w:hAnsi="仿宋" w:eastAsia="仿宋" w:cs="仿宋"/>
                <w:bCs/>
                <w:sz w:val="28"/>
                <w:szCs w:val="28"/>
                <w:highlight w:val="none"/>
                <w:lang w:val="en-US" w:eastAsia="zh-CN"/>
              </w:rPr>
            </w:pPr>
            <w:r>
              <w:rPr>
                <w:rFonts w:hint="eastAsia" w:ascii="仿宋" w:hAnsi="仿宋" w:eastAsia="仿宋" w:cs="仿宋"/>
                <w:b/>
                <w:bCs w:val="0"/>
                <w:sz w:val="28"/>
                <w:szCs w:val="28"/>
                <w:highlight w:val="none"/>
                <w:lang w:val="en-US" w:eastAsia="zh-CN"/>
              </w:rPr>
              <w:t>备注：</w:t>
            </w:r>
            <w:r>
              <w:rPr>
                <w:rFonts w:hint="eastAsia" w:ascii="仿宋" w:hAnsi="仿宋" w:eastAsia="仿宋" w:cs="仿宋"/>
                <w:bCs/>
                <w:sz w:val="28"/>
                <w:szCs w:val="28"/>
                <w:highlight w:val="none"/>
                <w:lang w:val="en-US" w:eastAsia="zh-CN"/>
              </w:rPr>
              <w:t>履约考核金额在结算煤款中扣除，直至煤款扣完为止。</w:t>
            </w:r>
          </w:p>
          <w:p w14:paraId="01B9EE2A">
            <w:pPr>
              <w:keepNext w:val="0"/>
              <w:keepLines w:val="0"/>
              <w:pageBreakBefore w:val="0"/>
              <w:widowControl w:val="0"/>
              <w:shd w:val="clear" w:fill="FFFFFF" w:themeFill="background1"/>
              <w:kinsoku/>
              <w:wordWrap/>
              <w:overflowPunct/>
              <w:topLinePunct w:val="0"/>
              <w:autoSpaceDE/>
              <w:autoSpaceDN/>
              <w:bidi w:val="0"/>
              <w:adjustRightInd/>
              <w:snapToGrid w:val="0"/>
              <w:spacing w:line="240" w:lineRule="auto"/>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Cs/>
                <w:sz w:val="28"/>
                <w:szCs w:val="28"/>
                <w:highlight w:val="none"/>
                <w:lang w:val="en-US" w:eastAsia="zh-CN"/>
              </w:rPr>
              <w:t>非乙方主观原因造成的合同履约率不足</w:t>
            </w:r>
            <w:r>
              <w:rPr>
                <w:rFonts w:hint="eastAsia" w:ascii="仿宋" w:hAnsi="仿宋" w:eastAsia="仿宋" w:cs="仿宋"/>
                <w:bCs/>
                <w:color w:val="auto"/>
                <w:sz w:val="28"/>
                <w:szCs w:val="28"/>
                <w:highlight w:val="none"/>
                <w:lang w:val="en-US" w:eastAsia="zh-CN"/>
              </w:rPr>
              <w:t>，由乙方向甲方提供说明，</w:t>
            </w:r>
            <w:r>
              <w:rPr>
                <w:rFonts w:hint="eastAsia" w:ascii="仿宋" w:hAnsi="仿宋" w:eastAsia="仿宋" w:cs="仿宋"/>
                <w:bCs/>
                <w:sz w:val="28"/>
                <w:szCs w:val="28"/>
                <w:highlight w:val="none"/>
                <w:lang w:val="en-US" w:eastAsia="zh-CN"/>
              </w:rPr>
              <w:t>甲方核实后确定合同履约率考核金额</w:t>
            </w:r>
            <w:r>
              <w:rPr>
                <w:rFonts w:hint="eastAsia" w:ascii="仿宋" w:hAnsi="仿宋" w:eastAsia="仿宋" w:cs="仿宋"/>
                <w:bCs/>
                <w:sz w:val="28"/>
                <w:szCs w:val="28"/>
                <w:highlight w:val="none"/>
              </w:rPr>
              <w:t>。</w:t>
            </w:r>
          </w:p>
        </w:tc>
      </w:tr>
    </w:tbl>
    <w:p w14:paraId="00AF66AB">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五、验收与煤炭质量化验及确认方式</w:t>
      </w:r>
    </w:p>
    <w:p w14:paraId="29D55393">
      <w:pPr>
        <w:numPr>
          <w:ilvl w:val="0"/>
          <w:numId w:val="0"/>
        </w:numPr>
        <w:shd w:val="clear" w:fill="FFFFFF" w:themeFill="background1"/>
        <w:tabs>
          <w:tab w:val="left" w:pos="360"/>
        </w:tabs>
        <w:spacing w:line="56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5.1 </w:t>
      </w:r>
      <w:r>
        <w:rPr>
          <w:rFonts w:hint="eastAsia" w:ascii="仿宋" w:hAnsi="仿宋" w:eastAsia="仿宋" w:cs="仿宋"/>
          <w:color w:val="auto"/>
          <w:sz w:val="32"/>
          <w:szCs w:val="32"/>
          <w:highlight w:val="none"/>
        </w:rPr>
        <w:t>煤炭</w:t>
      </w:r>
      <w:r>
        <w:rPr>
          <w:rFonts w:hint="eastAsia" w:ascii="仿宋" w:hAnsi="仿宋" w:eastAsia="仿宋" w:cs="仿宋"/>
          <w:b w:val="0"/>
          <w:color w:val="auto"/>
          <w:kern w:val="2"/>
          <w:sz w:val="32"/>
          <w:szCs w:val="32"/>
          <w:highlight w:val="none"/>
          <w:lang w:val="en-US" w:eastAsia="zh-CN"/>
        </w:rPr>
        <w:t>验收数量</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甲方汽车衡计量数据为准</w:t>
      </w:r>
    </w:p>
    <w:p w14:paraId="48214AD6">
      <w:pPr>
        <w:numPr>
          <w:ilvl w:val="0"/>
          <w:numId w:val="0"/>
        </w:numPr>
        <w:shd w:val="clear" w:fill="FFFFFF" w:themeFill="background1"/>
        <w:tabs>
          <w:tab w:val="left" w:pos="360"/>
        </w:tabs>
        <w:spacing w:line="560" w:lineRule="exact"/>
        <w:ind w:firstLine="3840" w:firstLineChars="1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甲方</w:t>
      </w:r>
      <w:r>
        <w:rPr>
          <w:rFonts w:hint="eastAsia" w:ascii="仿宋" w:hAnsi="仿宋" w:eastAsia="仿宋" w:cs="仿宋"/>
          <w:color w:val="auto"/>
          <w:sz w:val="32"/>
          <w:szCs w:val="32"/>
          <w:highlight w:val="none"/>
        </w:rPr>
        <w:t>轨道衡计量数据为准</w:t>
      </w:r>
    </w:p>
    <w:p w14:paraId="375FB36E">
      <w:pPr>
        <w:numPr>
          <w:ilvl w:val="0"/>
          <w:numId w:val="0"/>
        </w:numPr>
        <w:shd w:val="clear" w:fill="FFFFFF" w:themeFill="background1"/>
        <w:tabs>
          <w:tab w:val="left" w:pos="360"/>
        </w:tabs>
        <w:spacing w:line="560" w:lineRule="exact"/>
        <w:ind w:firstLine="3840" w:firstLineChars="1200"/>
        <w:jc w:val="left"/>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其他：</w:t>
      </w:r>
      <w:r>
        <w:rPr>
          <w:rFonts w:hint="eastAsia" w:ascii="仿宋" w:hAnsi="仿宋" w:eastAsia="仿宋" w:cs="仿宋"/>
          <w:color w:val="auto"/>
          <w:sz w:val="32"/>
          <w:szCs w:val="32"/>
          <w:highlight w:val="none"/>
          <w:u w:val="none"/>
        </w:rPr>
        <w:t xml:space="preserve">       </w:t>
      </w:r>
    </w:p>
    <w:p w14:paraId="3E16B12E">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5.2 双方确认煤炭交易中接收及验收具有特殊性，乙方承诺对甲方单方采样、化验的流程及相关工作人员的记录予以认可，不持任何异议。</w:t>
      </w:r>
    </w:p>
    <w:p w14:paraId="3582D89A">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5.3 煤炭质量以甲方化验结果为准（按照国家标准采样、制样、化验），乙方有权对质量验收过程进行监督，但不得影响和干预甲方验收工作。</w:t>
      </w:r>
    </w:p>
    <w:p w14:paraId="72E41026">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5.4 乙方如果对化验结果有异议时，可在收到化验结果48小时内书面通知甲方，否则视为无异议。甲方收到乙方书面质量复检申请书面材料后组织复检，由华电新疆发电公司煤检中心或双方认可的第三方煤检机构对甲方留存煤样进行复验，复验费用由异议提出方承担</w:t>
      </w:r>
      <w:r>
        <w:rPr>
          <w:rFonts w:hint="eastAsia" w:ascii="仿宋" w:hAnsi="仿宋" w:eastAsia="仿宋" w:cs="仿宋"/>
          <w:b w:val="0"/>
          <w:color w:val="auto"/>
          <w:kern w:val="2"/>
          <w:sz w:val="32"/>
          <w:szCs w:val="32"/>
          <w:highlight w:val="none"/>
          <w:shd w:val="clear"/>
          <w:lang w:val="en-US" w:eastAsia="zh-CN"/>
        </w:rPr>
        <w:t>。若复验结果与甲方检验结果的差值超出国标规定允许差时，异议成立，以复验结果作为买卖双方最终结算依据；否则，异议不成立，维持以甲方检验结果作为最终结算依据。</w:t>
      </w:r>
    </w:p>
    <w:p w14:paraId="01829421">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lang w:val="en-US" w:eastAsia="zh-CN"/>
        </w:rPr>
        <w:t>5.5 乙方在供煤期间发生煤质异常的情</w:t>
      </w:r>
      <w:r>
        <w:rPr>
          <w:rFonts w:hint="eastAsia" w:ascii="仿宋" w:hAnsi="仿宋" w:eastAsia="仿宋" w:cs="仿宋"/>
          <w:b w:val="0"/>
          <w:color w:val="auto"/>
          <w:kern w:val="2"/>
          <w:sz w:val="32"/>
          <w:szCs w:val="32"/>
          <w:highlight w:val="none"/>
          <w:shd w:val="clear"/>
          <w:lang w:val="en-US" w:eastAsia="zh-CN"/>
        </w:rPr>
        <w:t>况，具体处理标准按照甲方相关制度处理，情节严重时，按照以下方式进行处理：</w:t>
      </w:r>
    </w:p>
    <w:p w14:paraId="2DC0CB88">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shd w:val="clear"/>
          <w:lang w:val="en-US" w:eastAsia="zh-CN"/>
        </w:rPr>
        <w:t>（1）如货物已运送至甲方煤场，甲方有权不予卸车，并当即通知乙方抵达现场协商解决或乙方收到通知后24小时内对发运煤炭存在问题进行书面确认协商解决方案。</w:t>
      </w:r>
    </w:p>
    <w:p w14:paraId="3DEB6699">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shd w:val="clear"/>
          <w:lang w:val="en-US" w:eastAsia="zh-CN"/>
        </w:rPr>
      </w:pPr>
      <w:r>
        <w:rPr>
          <w:rFonts w:hint="eastAsia" w:ascii="仿宋" w:hAnsi="仿宋" w:eastAsia="仿宋" w:cs="仿宋"/>
          <w:b w:val="0"/>
          <w:color w:val="auto"/>
          <w:kern w:val="2"/>
          <w:sz w:val="32"/>
          <w:szCs w:val="32"/>
          <w:highlight w:val="none"/>
          <w:shd w:val="clear"/>
          <w:lang w:val="en-US" w:eastAsia="zh-CN"/>
        </w:rPr>
        <w:t>（2）如乙方要求进行现场确认，则甲方将该批次煤炭单独存放，如无法单独存放，甲方有权混放，做好煤炭存放地点标识，乙方应自收到通知后24小时内到达甲方煤场，因影响卸车或单独存放等产生的相关费用由乙方承担。</w:t>
      </w:r>
    </w:p>
    <w:p w14:paraId="54C22867">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default"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shd w:val="clear"/>
          <w:lang w:val="en-US" w:eastAsia="zh-CN"/>
        </w:rPr>
        <w:t>（3）如乙方未书面确认协商解决方案、未抵达现场或抵达后双方未能达成一致意见时，未卸车煤炭甲方可做拒收处理，乙方将拒收车辆驶出甲方煤场，由此产生的一切费用由乙方承担，包括且不限于因拒收所产生的运输费用等。已卸煤炭按照甲方相关制度处理。</w:t>
      </w:r>
    </w:p>
    <w:p w14:paraId="4EF87B09">
      <w:pPr>
        <w:keepNext w:val="0"/>
        <w:keepLines w:val="0"/>
        <w:pageBreakBefore w:val="0"/>
        <w:widowControl w:val="0"/>
        <w:numPr>
          <w:ilvl w:val="0"/>
          <w:numId w:val="0"/>
        </w:numPr>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（4）甲方根据本合同条款拒收拒付的煤炭，</w:t>
      </w:r>
      <w:r>
        <w:rPr>
          <w:rFonts w:hint="eastAsia" w:ascii="仿宋" w:hAnsi="仿宋" w:eastAsia="仿宋" w:cs="仿宋"/>
          <w:b w:val="0"/>
          <w:color w:val="auto"/>
          <w:kern w:val="2"/>
          <w:sz w:val="32"/>
          <w:szCs w:val="32"/>
          <w:highlight w:val="none"/>
          <w:lang w:val="en-US" w:eastAsia="zh-Hans"/>
        </w:rPr>
        <w:t>无需向乙方支付价款，产生的其他</w:t>
      </w:r>
      <w:r>
        <w:rPr>
          <w:rFonts w:hint="eastAsia" w:ascii="仿宋" w:hAnsi="仿宋" w:eastAsia="仿宋" w:cs="仿宋"/>
          <w:b w:val="0"/>
          <w:color w:val="auto"/>
          <w:kern w:val="2"/>
          <w:sz w:val="32"/>
          <w:szCs w:val="32"/>
          <w:highlight w:val="none"/>
          <w:lang w:val="en-US" w:eastAsia="zh-CN"/>
        </w:rPr>
        <w:t>费用由乙方承担。</w:t>
      </w:r>
    </w:p>
    <w:p w14:paraId="12F5AF6C">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六、结算及付款</w:t>
      </w:r>
    </w:p>
    <w:p w14:paraId="4DC1C6AE">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bookmarkStart w:id="0" w:name="_Hlk18712486"/>
      <w:bookmarkStart w:id="1" w:name="_Hlk18712219"/>
      <w:r>
        <w:rPr>
          <w:rFonts w:hint="eastAsia" w:ascii="仿宋" w:hAnsi="仿宋" w:eastAsia="仿宋" w:cs="仿宋"/>
          <w:b w:val="0"/>
          <w:color w:val="auto"/>
          <w:kern w:val="2"/>
          <w:sz w:val="32"/>
          <w:szCs w:val="32"/>
          <w:highlight w:val="none"/>
          <w:lang w:val="en-US" w:eastAsia="zh-CN"/>
        </w:rPr>
        <w:t>6.1 签订合同后按先煤后款方式执行合同，合同执行期限到期后，双方对账结算，双方均应在结算单据签字且盖章。乙方开具符合国家税法规定的增值税专用发票后提交甲方，甲方进行合同付款。</w:t>
      </w:r>
    </w:p>
    <w:p w14:paraId="7B730351">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6.2 结算数量以吨为单位，保留至两位小数。热值单位统一为“MJ/kg”，保留至2位小数。</w:t>
      </w:r>
    </w:p>
    <w:p w14:paraId="1C56B11B">
      <w:pPr>
        <w:numPr>
          <w:ilvl w:val="0"/>
          <w:numId w:val="0"/>
        </w:numPr>
        <w:shd w:val="clear" w:color="auto" w:fill="FFFFFF" w:themeFill="background1"/>
        <w:spacing w:beforeAutospacing="0" w:afterAutospacing="0"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6.3 付款方式：承兑汇票或电汇。因承兑汇票产生的贴息费、手续费等相关费用均由乙方承担。</w:t>
      </w:r>
    </w:p>
    <w:bookmarkEnd w:id="0"/>
    <w:bookmarkEnd w:id="1"/>
    <w:p w14:paraId="2BDF5001">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七、双方责任义务</w:t>
      </w:r>
    </w:p>
    <w:p w14:paraId="5A4AE50D">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7.1 </w:t>
      </w:r>
      <w:r>
        <w:rPr>
          <w:rFonts w:hint="eastAsia" w:ascii="仿宋" w:hAnsi="仿宋" w:eastAsia="仿宋" w:cs="仿宋"/>
          <w:b w:val="0"/>
          <w:color w:val="auto"/>
          <w:kern w:val="2"/>
          <w:sz w:val="32"/>
          <w:szCs w:val="32"/>
          <w:highlight w:val="none"/>
          <w:lang w:val="en-US" w:eastAsia="zh-CN"/>
        </w:rPr>
        <w:t>本合同签订前乙方</w:t>
      </w:r>
      <w:r>
        <w:rPr>
          <w:rFonts w:hint="eastAsia" w:ascii="仿宋" w:hAnsi="仿宋" w:eastAsia="仿宋" w:cs="仿宋"/>
          <w:b w:val="0"/>
          <w:color w:val="auto"/>
          <w:kern w:val="2"/>
          <w:sz w:val="32"/>
          <w:szCs w:val="32"/>
          <w:highlight w:val="none"/>
          <w:lang w:val="en-US" w:eastAsia="zh-Hans"/>
        </w:rPr>
        <w:t>向</w:t>
      </w:r>
      <w:r>
        <w:rPr>
          <w:rFonts w:hint="eastAsia" w:ascii="仿宋" w:hAnsi="仿宋" w:eastAsia="仿宋" w:cs="仿宋"/>
          <w:b w:val="0"/>
          <w:color w:val="auto"/>
          <w:kern w:val="2"/>
          <w:sz w:val="32"/>
          <w:szCs w:val="32"/>
          <w:highlight w:val="none"/>
          <w:lang w:val="en-US" w:eastAsia="zh-CN"/>
        </w:rPr>
        <w:t>甲方授权单位新疆华电煤业物资有限公司</w:t>
      </w:r>
      <w:r>
        <w:rPr>
          <w:rFonts w:hint="eastAsia" w:ascii="仿宋" w:hAnsi="仿宋" w:eastAsia="仿宋" w:cs="仿宋"/>
          <w:b w:val="0"/>
          <w:color w:val="auto"/>
          <w:kern w:val="2"/>
          <w:sz w:val="32"/>
          <w:szCs w:val="32"/>
          <w:highlight w:val="none"/>
          <w:lang w:val="en-US" w:eastAsia="zh-Hans"/>
        </w:rPr>
        <w:t>支付</w:t>
      </w:r>
      <w:r>
        <w:rPr>
          <w:rFonts w:hint="eastAsia" w:ascii="仿宋" w:hAnsi="仿宋" w:eastAsia="仿宋" w:cs="仿宋"/>
          <w:b w:val="0"/>
          <w:color w:val="auto"/>
          <w:kern w:val="2"/>
          <w:sz w:val="32"/>
          <w:szCs w:val="32"/>
          <w:highlight w:val="none"/>
          <w:lang w:val="en-US" w:eastAsia="zh-CN"/>
        </w:rPr>
        <w:t>履约保证金</w:t>
      </w:r>
      <w:r>
        <w:rPr>
          <w:rFonts w:hint="eastAsia" w:ascii="仿宋" w:hAnsi="仿宋" w:eastAsia="仿宋" w:cs="仿宋"/>
          <w:color w:val="auto"/>
          <w:sz w:val="32"/>
          <w:szCs w:val="32"/>
          <w:highlight w:val="none"/>
          <w:u w:val="single"/>
          <w:lang w:val="en-US" w:eastAsia="zh-CN"/>
        </w:rPr>
        <w:t>10</w:t>
      </w:r>
      <w:r>
        <w:rPr>
          <w:rFonts w:hint="eastAsia" w:ascii="仿宋" w:hAnsi="仿宋" w:eastAsia="仿宋" w:cs="仿宋"/>
          <w:b w:val="0"/>
          <w:color w:val="auto"/>
          <w:kern w:val="2"/>
          <w:sz w:val="32"/>
          <w:szCs w:val="32"/>
          <w:highlight w:val="none"/>
          <w:lang w:val="en-US" w:eastAsia="zh-CN"/>
        </w:rPr>
        <w:t>万元。当</w:t>
      </w:r>
      <w:r>
        <w:rPr>
          <w:rFonts w:hint="eastAsia" w:ascii="仿宋" w:hAnsi="仿宋" w:eastAsia="仿宋" w:cs="仿宋"/>
          <w:b w:val="0"/>
          <w:color w:val="auto"/>
          <w:kern w:val="2"/>
          <w:sz w:val="32"/>
          <w:szCs w:val="32"/>
          <w:highlight w:val="none"/>
          <w:lang w:val="en-US" w:eastAsia="zh-Hans"/>
        </w:rPr>
        <w:t>乙方</w:t>
      </w:r>
      <w:r>
        <w:rPr>
          <w:rFonts w:hint="eastAsia" w:ascii="仿宋" w:hAnsi="仿宋" w:eastAsia="仿宋" w:cs="仿宋"/>
          <w:b w:val="0"/>
          <w:color w:val="auto"/>
          <w:kern w:val="2"/>
          <w:sz w:val="32"/>
          <w:szCs w:val="32"/>
          <w:highlight w:val="none"/>
          <w:lang w:val="en-US" w:eastAsia="zh-CN"/>
        </w:rPr>
        <w:t>履约率不达标时，甲方按照合同约定扣除乙方履约保证金，履约保证金（本金）的扣除、退还由新疆华电煤业物资有限公司根据甲方的</w:t>
      </w:r>
      <w:r>
        <w:rPr>
          <w:rFonts w:hint="eastAsia" w:ascii="仿宋" w:hAnsi="仿宋" w:eastAsia="仿宋" w:cs="仿宋"/>
          <w:b w:val="0"/>
          <w:color w:val="auto"/>
          <w:kern w:val="2"/>
          <w:sz w:val="32"/>
          <w:szCs w:val="32"/>
          <w:highlight w:val="none"/>
          <w:lang w:val="en-US" w:eastAsia="zh-Hans"/>
        </w:rPr>
        <w:t>通知</w:t>
      </w:r>
      <w:r>
        <w:rPr>
          <w:rFonts w:hint="eastAsia" w:ascii="仿宋" w:hAnsi="仿宋" w:eastAsia="仿宋" w:cs="仿宋"/>
          <w:b w:val="0"/>
          <w:color w:val="auto"/>
          <w:kern w:val="2"/>
          <w:sz w:val="32"/>
          <w:szCs w:val="32"/>
          <w:highlight w:val="none"/>
          <w:lang w:val="en-US" w:eastAsia="zh-CN"/>
        </w:rPr>
        <w:t>办理。</w:t>
      </w:r>
    </w:p>
    <w:p w14:paraId="0F947586">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7.2 甲乙双方应严格履行本合同，任何一方未履行或未按约履行其在本合同项下义务的，除应继续履行外，还应对由此给另一方造成的损失承担赔偿责任。如甲方违约且未按约定向乙方支付违约金或赔偿金，乙方有权在以后结算价款中增加该等费用；如乙方违约且未按约向甲方支付违约金或赔偿金，甲方有权在以后结算价款中予以相应扣除，如乙方有异议，可向甲方提供相应证明材料。如双方无法协商解决争议的，可通过诉讼解决，但在法院</w:t>
      </w:r>
      <w:r>
        <w:rPr>
          <w:rFonts w:hint="eastAsia" w:ascii="仿宋" w:hAnsi="仿宋" w:eastAsia="仿宋" w:cs="仿宋"/>
          <w:b w:val="0"/>
          <w:color w:val="auto"/>
          <w:kern w:val="2"/>
          <w:sz w:val="32"/>
          <w:szCs w:val="32"/>
          <w:highlight w:val="none"/>
          <w:lang w:val="en-US" w:eastAsia="zh-Hans"/>
        </w:rPr>
        <w:t>裁判作出</w:t>
      </w:r>
      <w:r>
        <w:rPr>
          <w:rFonts w:hint="eastAsia" w:ascii="仿宋" w:hAnsi="仿宋" w:eastAsia="仿宋" w:cs="仿宋"/>
          <w:b w:val="0"/>
          <w:color w:val="auto"/>
          <w:kern w:val="2"/>
          <w:sz w:val="32"/>
          <w:szCs w:val="32"/>
          <w:highlight w:val="none"/>
          <w:lang w:val="en-US" w:eastAsia="zh-CN"/>
        </w:rPr>
        <w:t>前，无论乙方异议是否成立，甲方的扣款乙方均表示认可，且不得主张逾期结算相关违约责任。</w:t>
      </w:r>
    </w:p>
    <w:p w14:paraId="7904A937">
      <w:pPr>
        <w:pStyle w:val="5"/>
        <w:shd w:val="clear" w:fill="FFFFFF" w:themeFill="background1"/>
        <w:spacing w:line="560"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7.3 </w:t>
      </w:r>
      <w:r>
        <w:rPr>
          <w:rFonts w:hint="eastAsia" w:ascii="仿宋" w:hAnsi="仿宋" w:eastAsia="仿宋" w:cs="仿宋"/>
          <w:b w:val="0"/>
          <w:color w:val="auto"/>
          <w:kern w:val="2"/>
          <w:sz w:val="32"/>
          <w:szCs w:val="32"/>
          <w:highlight w:val="none"/>
          <w:lang w:val="en-US" w:eastAsia="zh-CN"/>
        </w:rPr>
        <w:t>本合同项下煤炭运输由乙方以</w:t>
      </w:r>
      <w:r>
        <w:rPr>
          <w:rFonts w:hint="eastAsia" w:ascii="仿宋" w:hAnsi="仿宋" w:eastAsia="仿宋" w:cs="仿宋"/>
          <w:color w:val="auto"/>
          <w:sz w:val="32"/>
          <w:szCs w:val="32"/>
          <w:highlight w:val="none"/>
          <w:u w:val="single"/>
          <w:lang w:val="en-US" w:eastAsia="zh-CN"/>
        </w:rPr>
        <w:t>汽车</w:t>
      </w:r>
      <w:r>
        <w:rPr>
          <w:rFonts w:hint="eastAsia" w:ascii="仿宋" w:hAnsi="仿宋" w:eastAsia="仿宋" w:cs="仿宋"/>
          <w:b w:val="0"/>
          <w:color w:val="auto"/>
          <w:kern w:val="2"/>
          <w:sz w:val="32"/>
          <w:szCs w:val="32"/>
          <w:highlight w:val="none"/>
          <w:u w:val="none"/>
          <w:lang w:val="en-US" w:eastAsia="zh-CN"/>
        </w:rPr>
        <w:t>运输</w:t>
      </w:r>
      <w:r>
        <w:rPr>
          <w:rFonts w:hint="eastAsia" w:ascii="仿宋" w:hAnsi="仿宋" w:eastAsia="仿宋" w:cs="仿宋"/>
          <w:b w:val="0"/>
          <w:color w:val="auto"/>
          <w:kern w:val="2"/>
          <w:sz w:val="32"/>
          <w:szCs w:val="32"/>
          <w:highlight w:val="none"/>
          <w:lang w:val="en-US" w:eastAsia="zh-CN"/>
        </w:rPr>
        <w:t>的方式运至合同约定的甲方交货地点，乙方运煤车辆完成卸货且空车驶离甲方厂区时，煤炭所有权由乙方转移至甲方。</w:t>
      </w:r>
      <w:r>
        <w:rPr>
          <w:rFonts w:hint="eastAsia" w:ascii="仿宋" w:hAnsi="仿宋" w:eastAsia="仿宋" w:cs="仿宋"/>
          <w:b w:val="0"/>
          <w:color w:val="auto"/>
          <w:kern w:val="2"/>
          <w:sz w:val="32"/>
          <w:szCs w:val="32"/>
          <w:highlight w:val="none"/>
          <w:lang w:val="en-US" w:eastAsia="zh-Hans"/>
        </w:rPr>
        <w:t>煤炭交付甲方前的</w:t>
      </w:r>
      <w:r>
        <w:rPr>
          <w:rFonts w:hint="eastAsia" w:ascii="仿宋" w:hAnsi="仿宋" w:eastAsia="仿宋" w:cs="仿宋"/>
          <w:b w:val="0"/>
          <w:color w:val="auto"/>
          <w:kern w:val="2"/>
          <w:sz w:val="32"/>
          <w:szCs w:val="32"/>
          <w:highlight w:val="none"/>
          <w:lang w:val="en-US" w:eastAsia="zh-CN"/>
        </w:rPr>
        <w:t>所有权仍归乙方，其毁损、灭失的风险由乙方承担；煤炭</w:t>
      </w:r>
      <w:r>
        <w:rPr>
          <w:rFonts w:hint="eastAsia" w:ascii="仿宋" w:hAnsi="仿宋" w:eastAsia="仿宋" w:cs="仿宋"/>
          <w:b w:val="0"/>
          <w:color w:val="auto"/>
          <w:kern w:val="2"/>
          <w:sz w:val="32"/>
          <w:szCs w:val="32"/>
          <w:highlight w:val="none"/>
          <w:lang w:val="en-US" w:eastAsia="zh-Hans"/>
        </w:rPr>
        <w:t>完成交货后，</w:t>
      </w:r>
      <w:r>
        <w:rPr>
          <w:rFonts w:hint="eastAsia" w:ascii="仿宋" w:hAnsi="仿宋" w:eastAsia="仿宋" w:cs="仿宋"/>
          <w:b w:val="0"/>
          <w:color w:val="auto"/>
          <w:kern w:val="2"/>
          <w:sz w:val="32"/>
          <w:szCs w:val="32"/>
          <w:highlight w:val="none"/>
          <w:lang w:val="en-US" w:eastAsia="zh-CN"/>
        </w:rPr>
        <w:t>所有权转归甲方</w:t>
      </w:r>
      <w:r>
        <w:rPr>
          <w:rFonts w:hint="eastAsia" w:ascii="仿宋" w:hAnsi="仿宋" w:eastAsia="仿宋" w:cs="仿宋"/>
          <w:b w:val="0"/>
          <w:color w:val="auto"/>
          <w:kern w:val="2"/>
          <w:sz w:val="32"/>
          <w:szCs w:val="32"/>
          <w:highlight w:val="none"/>
          <w:lang w:val="en-US" w:eastAsia="zh-Hans"/>
        </w:rPr>
        <w:t>所有</w:t>
      </w:r>
      <w:r>
        <w:rPr>
          <w:rFonts w:hint="eastAsia" w:ascii="仿宋" w:hAnsi="仿宋" w:eastAsia="仿宋" w:cs="仿宋"/>
          <w:b w:val="0"/>
          <w:color w:val="auto"/>
          <w:kern w:val="2"/>
          <w:sz w:val="32"/>
          <w:szCs w:val="32"/>
          <w:highlight w:val="none"/>
          <w:lang w:val="en-US" w:eastAsia="zh-CN"/>
        </w:rPr>
        <w:t>，其毁损、灭失的风险由甲方承担。</w:t>
      </w:r>
    </w:p>
    <w:p w14:paraId="48877995">
      <w:pPr>
        <w:numPr>
          <w:ilvl w:val="0"/>
          <w:numId w:val="0"/>
        </w:numPr>
        <w:shd w:val="clear" w:fill="FFFFFF" w:themeFill="background1"/>
        <w:spacing w:line="560" w:lineRule="exact"/>
        <w:ind w:firstLine="640" w:firstLineChars="200"/>
        <w:jc w:val="both"/>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7.4 </w:t>
      </w:r>
      <w:r>
        <w:rPr>
          <w:rFonts w:hint="eastAsia" w:ascii="仿宋" w:hAnsi="仿宋" w:eastAsia="仿宋" w:cs="仿宋"/>
          <w:b w:val="0"/>
          <w:color w:val="auto"/>
          <w:kern w:val="2"/>
          <w:sz w:val="32"/>
          <w:szCs w:val="32"/>
          <w:highlight w:val="none"/>
          <w:lang w:val="en-US" w:eastAsia="zh-CN"/>
        </w:rPr>
        <w:t>乙方在合同期内必须按要求进行均衡发运，因甲方调整调运通知导致乙方履约率不达标时，由乙方提出申请，甲方签字予以确认。</w:t>
      </w:r>
    </w:p>
    <w:p w14:paraId="66DC4F10">
      <w:pPr>
        <w:numPr>
          <w:ilvl w:val="0"/>
          <w:numId w:val="0"/>
        </w:numPr>
        <w:shd w:val="clear" w:fill="FFFFFF" w:themeFill="background1"/>
        <w:spacing w:line="560"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 xml:space="preserve">7.5 </w:t>
      </w:r>
      <w:r>
        <w:rPr>
          <w:rFonts w:hint="eastAsia" w:ascii="仿宋" w:hAnsi="仿宋" w:eastAsia="仿宋" w:cs="仿宋"/>
          <w:color w:val="auto"/>
          <w:sz w:val="32"/>
          <w:szCs w:val="32"/>
          <w:highlight w:val="none"/>
          <w:lang w:val="en-US" w:eastAsia="zh-CN"/>
        </w:rPr>
        <w:t>如在甲、乙双方履行合同期间及区域内因发生不可抗力，如战争、自然灾害、政府或公共机关禁止、国家法律法规变更、政策调整等，使合同无法正常履行，受影响一方</w:t>
      </w:r>
      <w:r>
        <w:rPr>
          <w:rFonts w:hint="eastAsia" w:ascii="仿宋" w:hAnsi="仿宋" w:eastAsia="仿宋" w:cs="仿宋"/>
          <w:color w:val="auto"/>
          <w:sz w:val="32"/>
          <w:szCs w:val="32"/>
          <w:highlight w:val="none"/>
        </w:rPr>
        <w:t>应在</w:t>
      </w:r>
      <w:r>
        <w:rPr>
          <w:rFonts w:hint="eastAsia" w:ascii="仿宋" w:hAnsi="仿宋" w:eastAsia="仿宋" w:cs="仿宋"/>
          <w:color w:val="auto"/>
          <w:sz w:val="32"/>
          <w:szCs w:val="32"/>
          <w:highlight w:val="none"/>
          <w:u w:val="single"/>
        </w:rPr>
        <w:t>1</w:t>
      </w:r>
      <w:r>
        <w:rPr>
          <w:rFonts w:hint="eastAsia" w:ascii="仿宋" w:hAnsi="仿宋" w:eastAsia="仿宋" w:cs="仿宋"/>
          <w:color w:val="auto"/>
          <w:sz w:val="32"/>
          <w:szCs w:val="32"/>
          <w:highlight w:val="none"/>
        </w:rPr>
        <w:t>日内将情况通知另外一方，并有义务采取合理措施将损失降到最低，</w:t>
      </w:r>
      <w:r>
        <w:rPr>
          <w:rFonts w:hint="eastAsia" w:ascii="仿宋" w:hAnsi="仿宋" w:eastAsia="仿宋" w:cs="仿宋"/>
          <w:color w:val="auto"/>
          <w:sz w:val="32"/>
          <w:szCs w:val="32"/>
          <w:highlight w:val="none"/>
          <w:lang w:val="en-US" w:eastAsia="zh-CN"/>
        </w:rPr>
        <w:t>在受不可抗力影响的范围内，经双方协商一致有关当事人可减轻或免除其合同责任，</w:t>
      </w:r>
      <w:r>
        <w:rPr>
          <w:rFonts w:hint="eastAsia" w:ascii="仿宋" w:hAnsi="仿宋" w:eastAsia="仿宋" w:cs="仿宋"/>
          <w:color w:val="auto"/>
          <w:sz w:val="32"/>
          <w:szCs w:val="32"/>
          <w:highlight w:val="none"/>
        </w:rPr>
        <w:t>同时应在不可抗力事件停止或影响消除后</w:t>
      </w:r>
      <w:r>
        <w:rPr>
          <w:rFonts w:hint="eastAsia" w:ascii="仿宋" w:hAnsi="仿宋" w:eastAsia="仿宋" w:cs="仿宋"/>
          <w:color w:val="auto"/>
          <w:sz w:val="32"/>
          <w:szCs w:val="32"/>
          <w:highlight w:val="none"/>
          <w:u w:val="single"/>
        </w:rPr>
        <w:t xml:space="preserve"> 3</w:t>
      </w:r>
      <w:r>
        <w:rPr>
          <w:rFonts w:hint="eastAsia" w:ascii="仿宋" w:hAnsi="仿宋" w:eastAsia="仿宋" w:cs="仿宋"/>
          <w:color w:val="auto"/>
          <w:sz w:val="32"/>
          <w:szCs w:val="32"/>
          <w:highlight w:val="none"/>
        </w:rPr>
        <w:t>日内向另外一方提供相应书面证明</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不可抗力事件停止或影响消除后，对于本合同相关的约定事项是否延期履行、部分履行或解除本合同，</w:t>
      </w:r>
      <w:r>
        <w:rPr>
          <w:rFonts w:hint="eastAsia" w:ascii="仿宋" w:hAnsi="仿宋" w:eastAsia="仿宋" w:cs="仿宋"/>
          <w:color w:val="auto"/>
          <w:sz w:val="32"/>
          <w:szCs w:val="32"/>
          <w:highlight w:val="none"/>
          <w:lang w:val="en-US" w:eastAsia="zh-CN"/>
        </w:rPr>
        <w:t>双方应本着相互谅解、互惠互利的原则协商确定。</w:t>
      </w:r>
    </w:p>
    <w:p w14:paraId="2A3DFF38">
      <w:pPr>
        <w:numPr>
          <w:ilvl w:val="0"/>
          <w:numId w:val="0"/>
        </w:numPr>
        <w:shd w:val="clear" w:fill="FFFFFF" w:themeFill="background1"/>
        <w:spacing w:line="560" w:lineRule="exact"/>
        <w:ind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7.6 </w:t>
      </w:r>
      <w:r>
        <w:rPr>
          <w:rFonts w:hint="eastAsia" w:ascii="仿宋" w:hAnsi="仿宋" w:eastAsia="仿宋" w:cs="仿宋"/>
          <w:color w:val="auto"/>
          <w:sz w:val="32"/>
          <w:szCs w:val="32"/>
          <w:highlight w:val="none"/>
        </w:rPr>
        <w:t>本合同中涉及的煤种质量指标、煤炭供应数量及价格均为甲、乙双方需保密的信息，在合同有效期内及合同终止两年内，除政府及相关部门要求披露或法律另有规定外，合同任何一方均不得向任何第三方透露其内容。因一方泄密而致另一方遭受损失，泄密方应承担损害赔偿责任。</w:t>
      </w:r>
    </w:p>
    <w:p w14:paraId="7E12A8D5">
      <w:pPr>
        <w:pStyle w:val="5"/>
        <w:shd w:val="clear" w:fill="FFFFFF" w:themeFill="background1"/>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7.7 乙方运输车辆必须符合国家及地方最新规定的排放标准,同时按照竞价文件要求，需满足电动重卡车辆运输占比≧</w:t>
      </w:r>
      <w:r>
        <w:rPr>
          <w:rFonts w:hint="eastAsia" w:ascii="仿宋" w:hAnsi="仿宋" w:eastAsia="仿宋" w:cs="仿宋"/>
          <w:color w:val="auto"/>
          <w:kern w:val="2"/>
          <w:sz w:val="32"/>
          <w:szCs w:val="32"/>
          <w:highlight w:val="none"/>
          <w:u w:val="single"/>
          <w:lang w:val="en-US" w:eastAsia="zh-CN" w:bidi="ar-SA"/>
        </w:rPr>
        <w:t>100</w:t>
      </w:r>
      <w:r>
        <w:rPr>
          <w:rFonts w:hint="eastAsia" w:ascii="仿宋" w:hAnsi="仿宋" w:eastAsia="仿宋" w:cs="仿宋"/>
          <w:color w:val="auto"/>
          <w:kern w:val="2"/>
          <w:sz w:val="32"/>
          <w:szCs w:val="32"/>
          <w:highlight w:val="none"/>
          <w:lang w:val="en-US" w:eastAsia="zh-CN" w:bidi="ar-SA"/>
        </w:rPr>
        <w:t>%。</w:t>
      </w:r>
    </w:p>
    <w:p w14:paraId="0F007A17">
      <w:pPr>
        <w:pStyle w:val="5"/>
        <w:shd w:val="clear" w:fill="FFFFFF" w:themeFill="background1"/>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 xml:space="preserve">7.8 </w:t>
      </w:r>
      <w:r>
        <w:rPr>
          <w:rFonts w:hint="eastAsia" w:ascii="仿宋" w:hAnsi="仿宋" w:eastAsia="仿宋" w:cs="仿宋"/>
          <w:color w:val="auto"/>
          <w:sz w:val="32"/>
          <w:szCs w:val="32"/>
          <w:highlight w:val="none"/>
          <w:lang w:val="en-US" w:eastAsia="zh-CN"/>
        </w:rPr>
        <w:t>乙方日到达车辆低于</w:t>
      </w:r>
      <w:r>
        <w:rPr>
          <w:rFonts w:hint="eastAsia" w:ascii="仿宋" w:hAnsi="仿宋" w:eastAsia="仿宋" w:cs="仿宋"/>
          <w:color w:val="auto"/>
          <w:sz w:val="32"/>
          <w:szCs w:val="32"/>
          <w:highlight w:val="none"/>
          <w:u w:val="single"/>
          <w:lang w:val="en-US" w:eastAsia="zh-CN"/>
        </w:rPr>
        <w:t>20</w:t>
      </w:r>
      <w:r>
        <w:rPr>
          <w:rFonts w:hint="eastAsia" w:ascii="仿宋" w:hAnsi="仿宋" w:eastAsia="仿宋" w:cs="仿宋"/>
          <w:color w:val="auto"/>
          <w:sz w:val="32"/>
          <w:szCs w:val="32"/>
          <w:highlight w:val="none"/>
          <w:lang w:val="en-US" w:eastAsia="zh-CN"/>
        </w:rPr>
        <w:t>辆，甲方有权延迟接卸，由此产生的费用由乙方承担。</w:t>
      </w:r>
    </w:p>
    <w:p w14:paraId="0E9C96DB">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default" w:ascii="黑体" w:hAnsi="黑体" w:eastAsia="黑体" w:cs="黑体"/>
          <w:b w:val="0"/>
          <w:color w:val="auto"/>
          <w:kern w:val="2"/>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rPr>
        <w:t>八、违约责任</w:t>
      </w:r>
    </w:p>
    <w:p w14:paraId="2C99E5B2">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8.1 本合同签订后，乙方必须保证所供煤炭符合本合同质量要求，规格符合国家标准。同时乙方所供煤炭中不得含有任何对卸输煤设施、煤炭制粉系统及燃煤设备造成意外损坏的物质，如有违反，造成甲方的一切损失，由乙方承担。</w:t>
      </w:r>
    </w:p>
    <w:p w14:paraId="4C097511">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8.2 乙方在供煤期间发生煤炭质量不符合本合同质量要求的情况，甲方有权要求乙方停供整改。</w:t>
      </w:r>
      <w:r>
        <w:rPr>
          <w:rFonts w:hint="default" w:ascii="仿宋" w:hAnsi="仿宋" w:eastAsia="仿宋" w:cs="仿宋"/>
          <w:b w:val="0"/>
          <w:color w:val="auto"/>
          <w:kern w:val="2"/>
          <w:sz w:val="32"/>
          <w:szCs w:val="32"/>
          <w:highlight w:val="none"/>
          <w:lang w:val="en-US" w:eastAsia="zh-CN"/>
        </w:rPr>
        <w:t>如给甲方造成经济损失</w:t>
      </w:r>
      <w:r>
        <w:rPr>
          <w:rFonts w:hint="eastAsia" w:ascii="仿宋" w:hAnsi="仿宋" w:eastAsia="仿宋" w:cs="仿宋"/>
          <w:b w:val="0"/>
          <w:color w:val="auto"/>
          <w:kern w:val="2"/>
          <w:sz w:val="32"/>
          <w:szCs w:val="32"/>
          <w:highlight w:val="none"/>
          <w:lang w:val="en-US" w:eastAsia="zh-CN"/>
        </w:rPr>
        <w:t>的</w:t>
      </w:r>
      <w:r>
        <w:rPr>
          <w:rFonts w:hint="default" w:ascii="仿宋" w:hAnsi="仿宋" w:eastAsia="仿宋" w:cs="仿宋"/>
          <w:b w:val="0"/>
          <w:color w:val="auto"/>
          <w:kern w:val="2"/>
          <w:sz w:val="32"/>
          <w:szCs w:val="32"/>
          <w:highlight w:val="none"/>
          <w:lang w:val="en-US" w:eastAsia="zh-CN"/>
        </w:rPr>
        <w:t>，</w:t>
      </w:r>
      <w:r>
        <w:rPr>
          <w:rFonts w:hint="eastAsia" w:ascii="仿宋" w:hAnsi="仿宋" w:eastAsia="仿宋" w:cs="仿宋"/>
          <w:b w:val="0"/>
          <w:color w:val="auto"/>
          <w:kern w:val="2"/>
          <w:sz w:val="32"/>
          <w:szCs w:val="32"/>
          <w:highlight w:val="none"/>
          <w:lang w:val="en-US" w:eastAsia="zh-CN"/>
        </w:rPr>
        <w:t>乙方</w:t>
      </w:r>
      <w:r>
        <w:rPr>
          <w:rFonts w:hint="default" w:ascii="仿宋" w:hAnsi="仿宋" w:eastAsia="仿宋" w:cs="仿宋"/>
          <w:b w:val="0"/>
          <w:color w:val="auto"/>
          <w:kern w:val="2"/>
          <w:sz w:val="32"/>
          <w:szCs w:val="32"/>
          <w:highlight w:val="none"/>
          <w:lang w:val="en-US" w:eastAsia="zh-CN"/>
        </w:rPr>
        <w:t>应赔偿甲方的全部损失</w:t>
      </w:r>
      <w:r>
        <w:rPr>
          <w:rFonts w:hint="eastAsia" w:ascii="仿宋" w:hAnsi="仿宋" w:eastAsia="仿宋" w:cs="仿宋"/>
          <w:b w:val="0"/>
          <w:color w:val="auto"/>
          <w:kern w:val="2"/>
          <w:sz w:val="32"/>
          <w:szCs w:val="32"/>
          <w:highlight w:val="none"/>
          <w:lang w:val="en-US" w:eastAsia="zh-CN"/>
        </w:rPr>
        <w:t xml:space="preserve">，乙方除按本合同的约定承担违约责任外，还应赔偿甲方包括但不限于律师费、保全费、保全担保费、诉讼费、鉴定费、差旅费等因维护合法权益产生的费用。 </w:t>
      </w:r>
    </w:p>
    <w:p w14:paraId="18D5150D">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8.3 乙方在供煤期间发生违反甲方厂内管理相关规定的情况，按照甲方相关规章制度予以考核。</w:t>
      </w:r>
      <w:r>
        <w:rPr>
          <w:rFonts w:hint="eastAsia" w:ascii="仿宋" w:hAnsi="仿宋" w:eastAsia="仿宋" w:cs="仿宋"/>
          <w:b w:val="0"/>
          <w:color w:val="auto"/>
          <w:kern w:val="2"/>
          <w:sz w:val="32"/>
          <w:szCs w:val="32"/>
          <w:highlight w:val="none"/>
          <w:lang w:val="en-US" w:eastAsia="zh-Hans"/>
        </w:rPr>
        <w:t>因</w:t>
      </w:r>
      <w:r>
        <w:rPr>
          <w:rFonts w:hint="eastAsia" w:ascii="仿宋" w:hAnsi="仿宋" w:eastAsia="仿宋" w:cs="仿宋"/>
          <w:b w:val="0"/>
          <w:color w:val="auto"/>
          <w:kern w:val="2"/>
          <w:sz w:val="32"/>
          <w:szCs w:val="32"/>
          <w:highlight w:val="none"/>
          <w:lang w:val="en-US" w:eastAsia="zh-CN"/>
        </w:rPr>
        <w:t>乙方原因造成的事故或设施损坏，</w:t>
      </w:r>
      <w:r>
        <w:rPr>
          <w:rFonts w:hint="eastAsia" w:ascii="仿宋" w:hAnsi="仿宋" w:eastAsia="仿宋" w:cs="仿宋"/>
          <w:b w:val="0"/>
          <w:color w:val="auto"/>
          <w:kern w:val="2"/>
          <w:sz w:val="32"/>
          <w:szCs w:val="32"/>
          <w:highlight w:val="none"/>
          <w:lang w:val="en-US" w:eastAsia="zh-Hans"/>
        </w:rPr>
        <w:t>均</w:t>
      </w:r>
      <w:r>
        <w:rPr>
          <w:rFonts w:hint="eastAsia" w:ascii="仿宋" w:hAnsi="仿宋" w:eastAsia="仿宋" w:cs="仿宋"/>
          <w:b w:val="0"/>
          <w:color w:val="auto"/>
          <w:kern w:val="2"/>
          <w:sz w:val="32"/>
          <w:szCs w:val="32"/>
          <w:highlight w:val="none"/>
          <w:lang w:val="en-US" w:eastAsia="zh-CN"/>
        </w:rPr>
        <w:t>由乙方负责承担</w:t>
      </w:r>
      <w:r>
        <w:rPr>
          <w:rFonts w:hint="eastAsia" w:ascii="仿宋" w:hAnsi="仿宋" w:eastAsia="仿宋" w:cs="仿宋"/>
          <w:b w:val="0"/>
          <w:color w:val="auto"/>
          <w:kern w:val="2"/>
          <w:sz w:val="32"/>
          <w:szCs w:val="32"/>
          <w:highlight w:val="none"/>
          <w:lang w:val="en-US" w:eastAsia="zh-Hans"/>
        </w:rPr>
        <w:t>赔偿责任。</w:t>
      </w:r>
    </w:p>
    <w:p w14:paraId="42781F2D">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b w:val="0"/>
          <w:color w:val="auto"/>
          <w:kern w:val="2"/>
          <w:sz w:val="32"/>
          <w:szCs w:val="32"/>
          <w:highlight w:val="none"/>
          <w:lang w:val="en-US" w:eastAsia="zh-CN"/>
        </w:rPr>
        <w:t>8.4 乙方供应煤炭单车含有较多石块、其他杂物或颗粒度超过合同约定要求情况，按照</w:t>
      </w:r>
      <w:r>
        <w:rPr>
          <w:rFonts w:hint="eastAsia" w:ascii="仿宋" w:hAnsi="仿宋" w:eastAsia="仿宋" w:cs="仿宋"/>
          <w:b w:val="0"/>
          <w:color w:val="auto"/>
          <w:kern w:val="2"/>
          <w:sz w:val="32"/>
          <w:szCs w:val="32"/>
          <w:highlight w:val="none"/>
          <w:shd w:val="clear" w:fill="auto"/>
          <w:lang w:val="en-US" w:eastAsia="zh-CN"/>
        </w:rPr>
        <w:t>甲方相关制度进行</w:t>
      </w:r>
      <w:r>
        <w:rPr>
          <w:rFonts w:hint="eastAsia" w:ascii="仿宋" w:hAnsi="仿宋" w:eastAsia="仿宋" w:cs="仿宋"/>
          <w:b w:val="0"/>
          <w:color w:val="auto"/>
          <w:kern w:val="2"/>
          <w:sz w:val="32"/>
          <w:szCs w:val="32"/>
          <w:highlight w:val="none"/>
          <w:lang w:val="en-US" w:eastAsia="zh-CN"/>
        </w:rPr>
        <w:t>扣吨处理，并</w:t>
      </w:r>
      <w:r>
        <w:rPr>
          <w:rFonts w:hint="eastAsia" w:ascii="仿宋" w:hAnsi="仿宋" w:eastAsia="仿宋" w:cs="仿宋"/>
          <w:color w:val="auto"/>
          <w:sz w:val="32"/>
          <w:szCs w:val="32"/>
          <w:highlight w:val="none"/>
          <w:lang w:val="en-US" w:eastAsia="zh-CN"/>
        </w:rPr>
        <w:t>停止乙方当日进煤计划，由</w:t>
      </w:r>
      <w:r>
        <w:rPr>
          <w:rFonts w:hint="eastAsia" w:ascii="仿宋" w:hAnsi="仿宋" w:eastAsia="仿宋" w:cs="仿宋"/>
          <w:b w:val="0"/>
          <w:color w:val="auto"/>
          <w:kern w:val="2"/>
          <w:sz w:val="32"/>
          <w:szCs w:val="32"/>
          <w:highlight w:val="none"/>
          <w:lang w:val="en-US" w:eastAsia="zh-CN"/>
        </w:rPr>
        <w:t>乙方对煤质进行调整。每月发生同类情况达到三次时，甲方有权终止合同并将乙方进行阶段性退出6个月惩戒处理。</w:t>
      </w:r>
    </w:p>
    <w:p w14:paraId="3637BFD9">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 xml:space="preserve">8.5 </w:t>
      </w:r>
      <w:r>
        <w:rPr>
          <w:rFonts w:hint="eastAsia" w:ascii="仿宋" w:hAnsi="仿宋" w:eastAsia="仿宋" w:cs="仿宋"/>
          <w:b w:val="0"/>
          <w:bCs w:val="0"/>
          <w:color w:val="auto"/>
          <w:kern w:val="2"/>
          <w:sz w:val="32"/>
          <w:szCs w:val="32"/>
          <w:highlight w:val="none"/>
          <w:lang w:val="en-US" w:eastAsia="zh-CN"/>
        </w:rPr>
        <w:t>乙方所供应的煤炭</w:t>
      </w:r>
      <w:r>
        <w:rPr>
          <w:rFonts w:hint="default" w:ascii="仿宋" w:hAnsi="仿宋" w:eastAsia="仿宋" w:cs="仿宋"/>
          <w:color w:val="auto"/>
          <w:sz w:val="32"/>
          <w:szCs w:val="32"/>
          <w:highlight w:val="none"/>
          <w:lang w:val="en-US" w:eastAsia="zh-CN"/>
        </w:rPr>
        <w:t>水分明显高于正常来煤情况（</w:t>
      </w:r>
      <w:r>
        <w:rPr>
          <w:rFonts w:hint="default" w:ascii="仿宋" w:hAnsi="仿宋" w:eastAsia="仿宋" w:cs="仿宋"/>
          <w:color w:val="auto"/>
          <w:sz w:val="32"/>
          <w:szCs w:val="32"/>
          <w:highlight w:val="none"/>
        </w:rPr>
        <w:t>车厢淌水</w:t>
      </w:r>
      <w:r>
        <w:rPr>
          <w:rFonts w:hint="default" w:ascii="仿宋" w:hAnsi="仿宋" w:eastAsia="仿宋" w:cs="仿宋"/>
          <w:color w:val="auto"/>
          <w:sz w:val="32"/>
          <w:szCs w:val="32"/>
          <w:highlight w:val="none"/>
          <w:lang w:val="en-US" w:eastAsia="zh-CN"/>
        </w:rPr>
        <w:t>或造成采样机堵塞情况）</w:t>
      </w:r>
      <w:r>
        <w:rPr>
          <w:rFonts w:hint="eastAsia" w:ascii="仿宋" w:hAnsi="仿宋" w:eastAsia="仿宋" w:cs="仿宋"/>
          <w:color w:val="auto"/>
          <w:sz w:val="32"/>
          <w:szCs w:val="32"/>
          <w:highlight w:val="none"/>
          <w:lang w:val="en-US" w:eastAsia="zh-CN"/>
        </w:rPr>
        <w:t>，对该车不予结算处理，并停止乙方当日进煤计划，由</w:t>
      </w:r>
      <w:r>
        <w:rPr>
          <w:rFonts w:hint="eastAsia" w:ascii="仿宋" w:hAnsi="仿宋" w:eastAsia="仿宋" w:cs="仿宋"/>
          <w:b w:val="0"/>
          <w:color w:val="auto"/>
          <w:kern w:val="2"/>
          <w:sz w:val="32"/>
          <w:szCs w:val="32"/>
          <w:highlight w:val="none"/>
          <w:lang w:val="en-US" w:eastAsia="zh-CN"/>
        </w:rPr>
        <w:t>乙方对煤质进行调整。每</w:t>
      </w:r>
      <w:r>
        <w:rPr>
          <w:rFonts w:hint="eastAsia" w:ascii="仿宋" w:hAnsi="仿宋" w:eastAsia="仿宋" w:cs="仿宋"/>
          <w:b w:val="0"/>
          <w:color w:val="auto"/>
          <w:kern w:val="2"/>
          <w:sz w:val="32"/>
          <w:szCs w:val="32"/>
          <w:highlight w:val="none"/>
          <w:lang w:val="en-US" w:eastAsia="zh-Hans"/>
        </w:rPr>
        <w:t>月发生同类情况达到三次时，甲方</w:t>
      </w:r>
      <w:r>
        <w:rPr>
          <w:rFonts w:hint="eastAsia" w:ascii="仿宋" w:hAnsi="仿宋" w:eastAsia="仿宋" w:cs="仿宋"/>
          <w:b w:val="0"/>
          <w:color w:val="auto"/>
          <w:kern w:val="2"/>
          <w:sz w:val="32"/>
          <w:szCs w:val="32"/>
          <w:highlight w:val="none"/>
          <w:lang w:val="en-US" w:eastAsia="zh-CN"/>
        </w:rPr>
        <w:t>有权终止合同并将乙方进行</w:t>
      </w:r>
      <w:r>
        <w:rPr>
          <w:rFonts w:hint="eastAsia" w:ascii="仿宋" w:hAnsi="仿宋" w:eastAsia="仿宋" w:cs="仿宋"/>
          <w:b w:val="0"/>
          <w:color w:val="auto"/>
          <w:kern w:val="2"/>
          <w:sz w:val="32"/>
          <w:szCs w:val="32"/>
          <w:highlight w:val="none"/>
          <w:lang w:val="en-US" w:eastAsia="zh-Hans"/>
        </w:rPr>
        <w:t>阶段性退出6个月</w:t>
      </w:r>
      <w:r>
        <w:rPr>
          <w:rFonts w:hint="eastAsia" w:ascii="仿宋" w:hAnsi="仿宋" w:eastAsia="仿宋" w:cs="仿宋"/>
          <w:b w:val="0"/>
          <w:color w:val="auto"/>
          <w:kern w:val="2"/>
          <w:sz w:val="32"/>
          <w:szCs w:val="32"/>
          <w:highlight w:val="none"/>
          <w:lang w:val="en-US" w:eastAsia="zh-CN"/>
        </w:rPr>
        <w:t>惩戒处理</w:t>
      </w:r>
      <w:r>
        <w:rPr>
          <w:rFonts w:hint="eastAsia" w:ascii="仿宋" w:hAnsi="仿宋" w:eastAsia="仿宋" w:cs="仿宋"/>
          <w:b w:val="0"/>
          <w:color w:val="auto"/>
          <w:kern w:val="2"/>
          <w:sz w:val="32"/>
          <w:szCs w:val="32"/>
          <w:highlight w:val="none"/>
          <w:lang w:val="en-US" w:eastAsia="zh-Hans"/>
        </w:rPr>
        <w:t>。</w:t>
      </w:r>
    </w:p>
    <w:p w14:paraId="20EDCED3">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Hans"/>
        </w:rPr>
      </w:pPr>
      <w:r>
        <w:rPr>
          <w:rFonts w:hint="eastAsia" w:ascii="仿宋" w:hAnsi="仿宋" w:eastAsia="仿宋" w:cs="仿宋"/>
          <w:b w:val="0"/>
          <w:color w:val="auto"/>
          <w:kern w:val="2"/>
          <w:sz w:val="32"/>
          <w:szCs w:val="32"/>
          <w:highlight w:val="none"/>
          <w:lang w:val="en-US" w:eastAsia="zh-CN"/>
        </w:rPr>
        <w:t>8.6 乙方供应煤炭</w:t>
      </w:r>
      <w:r>
        <w:rPr>
          <w:rFonts w:hint="eastAsia" w:ascii="仿宋" w:hAnsi="仿宋" w:eastAsia="仿宋" w:cs="仿宋"/>
          <w:b w:val="0"/>
          <w:color w:val="auto"/>
          <w:kern w:val="2"/>
          <w:sz w:val="32"/>
          <w:szCs w:val="32"/>
          <w:highlight w:val="none"/>
          <w:lang w:val="en-US" w:eastAsia="zh-Hans"/>
        </w:rPr>
        <w:t>出现分层、包芯、铺底、分段等情况时，若</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认可，则确定为掺假使假；若</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不认可，则共同对不同点位进行取样，如不同点位发热量化验结果偏差超过2MJ/kg，视为掺假使假。</w:t>
      </w:r>
      <w:r>
        <w:rPr>
          <w:rFonts w:hint="eastAsia" w:ascii="仿宋" w:hAnsi="仿宋" w:eastAsia="仿宋" w:cs="仿宋"/>
          <w:b w:val="0"/>
          <w:color w:val="auto"/>
          <w:kern w:val="2"/>
          <w:sz w:val="32"/>
          <w:szCs w:val="32"/>
          <w:highlight w:val="none"/>
          <w:lang w:val="en-US" w:eastAsia="zh-CN"/>
        </w:rPr>
        <w:t>认定为</w:t>
      </w:r>
      <w:r>
        <w:rPr>
          <w:rFonts w:hint="eastAsia" w:ascii="仿宋" w:hAnsi="仿宋" w:eastAsia="仿宋" w:cs="仿宋"/>
          <w:b w:val="0"/>
          <w:color w:val="auto"/>
          <w:kern w:val="2"/>
          <w:sz w:val="32"/>
          <w:szCs w:val="32"/>
          <w:highlight w:val="none"/>
          <w:lang w:val="en-US" w:eastAsia="zh-Hans"/>
        </w:rPr>
        <w:t>掺假使假的，对</w:t>
      </w:r>
      <w:r>
        <w:rPr>
          <w:rFonts w:hint="eastAsia"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Hans"/>
        </w:rPr>
        <w:t>当日已入厂燃煤不予结算，</w:t>
      </w:r>
      <w:r>
        <w:rPr>
          <w:rFonts w:hint="eastAsia" w:ascii="仿宋" w:hAnsi="仿宋" w:eastAsia="仿宋" w:cs="仿宋"/>
          <w:b w:val="0"/>
          <w:color w:val="auto"/>
          <w:kern w:val="2"/>
          <w:sz w:val="32"/>
          <w:szCs w:val="32"/>
          <w:highlight w:val="none"/>
          <w:lang w:val="en-US" w:eastAsia="zh-CN"/>
        </w:rPr>
        <w:t>甲方有权终止合同，</w:t>
      </w:r>
      <w:r>
        <w:rPr>
          <w:rFonts w:hint="eastAsia" w:ascii="仿宋" w:hAnsi="仿宋" w:eastAsia="仿宋" w:cs="仿宋"/>
          <w:b w:val="0"/>
          <w:color w:val="auto"/>
          <w:kern w:val="2"/>
          <w:sz w:val="32"/>
          <w:szCs w:val="32"/>
          <w:highlight w:val="none"/>
          <w:lang w:val="en-US" w:eastAsia="zh-Hans"/>
        </w:rPr>
        <w:t>并</w:t>
      </w:r>
      <w:r>
        <w:rPr>
          <w:rFonts w:hint="eastAsia" w:ascii="仿宋" w:hAnsi="仿宋" w:eastAsia="仿宋" w:cs="仿宋"/>
          <w:b w:val="0"/>
          <w:color w:val="auto"/>
          <w:kern w:val="2"/>
          <w:sz w:val="32"/>
          <w:szCs w:val="32"/>
          <w:highlight w:val="none"/>
          <w:lang w:val="en-US" w:eastAsia="zh-CN"/>
        </w:rPr>
        <w:t>将乙方</w:t>
      </w:r>
      <w:r>
        <w:rPr>
          <w:rFonts w:hint="eastAsia" w:ascii="仿宋_GB2312" w:eastAsia="仿宋_GB2312" w:hAnsiTheme="minorHAnsi" w:cstheme="minorBidi"/>
          <w:b w:val="0"/>
          <w:bCs w:val="0"/>
          <w:color w:val="auto"/>
          <w:spacing w:val="-9"/>
          <w:kern w:val="2"/>
          <w:sz w:val="32"/>
          <w:szCs w:val="24"/>
          <w:highlight w:val="none"/>
        </w:rPr>
        <w:t>永久退出</w:t>
      </w:r>
      <w:r>
        <w:rPr>
          <w:rFonts w:hint="eastAsia" w:ascii="仿宋_GB2312" w:eastAsia="仿宋_GB2312" w:hAnsiTheme="minorHAnsi" w:cstheme="minorBidi"/>
          <w:b w:val="0"/>
          <w:bCs w:val="0"/>
          <w:color w:val="auto"/>
          <w:spacing w:val="-9"/>
          <w:kern w:val="2"/>
          <w:sz w:val="32"/>
          <w:szCs w:val="24"/>
          <w:highlight w:val="none"/>
          <w:lang w:eastAsia="zh-CN"/>
        </w:rPr>
        <w:t>，</w:t>
      </w:r>
      <w:r>
        <w:rPr>
          <w:rFonts w:hint="eastAsia" w:ascii="仿宋_GB2312" w:eastAsia="仿宋_GB2312" w:hAnsiTheme="minorHAnsi" w:cstheme="minorBidi"/>
          <w:b w:val="0"/>
          <w:bCs w:val="0"/>
          <w:color w:val="auto"/>
          <w:spacing w:val="-9"/>
          <w:kern w:val="2"/>
          <w:sz w:val="32"/>
          <w:szCs w:val="24"/>
          <w:highlight w:val="none"/>
        </w:rPr>
        <w:t>列入黑名单管理</w:t>
      </w:r>
      <w:r>
        <w:rPr>
          <w:rFonts w:hint="eastAsia" w:ascii="仿宋" w:hAnsi="仿宋" w:eastAsia="仿宋" w:cs="仿宋"/>
          <w:b w:val="0"/>
          <w:color w:val="auto"/>
          <w:kern w:val="2"/>
          <w:sz w:val="32"/>
          <w:szCs w:val="32"/>
          <w:highlight w:val="none"/>
          <w:lang w:val="en-US" w:eastAsia="zh-Hans"/>
        </w:rPr>
        <w:t>。</w:t>
      </w:r>
    </w:p>
    <w:p w14:paraId="13CD293B">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lang w:val="en-US" w:eastAsia="zh-CN"/>
        </w:rPr>
        <w:t>九、</w:t>
      </w:r>
      <w:r>
        <w:rPr>
          <w:rFonts w:hint="eastAsia" w:ascii="黑体" w:hAnsi="黑体" w:eastAsia="黑体" w:cs="黑体"/>
          <w:b w:val="0"/>
          <w:bCs/>
          <w:color w:val="auto"/>
          <w:kern w:val="0"/>
          <w:sz w:val="32"/>
          <w:szCs w:val="32"/>
          <w:highlight w:val="none"/>
        </w:rPr>
        <w:t xml:space="preserve">争议解决条款 </w:t>
      </w:r>
    </w:p>
    <w:p w14:paraId="3620B8C7">
      <w:pPr>
        <w:keepNext w:val="0"/>
        <w:keepLines w:val="0"/>
        <w:pageBreakBefore w:val="0"/>
        <w:widowControl w:val="0"/>
        <w:shd w:val="clear" w:fill="FFFFFF" w:themeFill="background1"/>
        <w:tabs>
          <w:tab w:val="left" w:pos="360"/>
        </w:tabs>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9.1 </w:t>
      </w:r>
      <w:r>
        <w:rPr>
          <w:rFonts w:hint="eastAsia" w:ascii="仿宋" w:hAnsi="仿宋" w:eastAsia="仿宋" w:cs="仿宋"/>
          <w:color w:val="auto"/>
          <w:sz w:val="32"/>
          <w:szCs w:val="32"/>
          <w:highlight w:val="none"/>
        </w:rPr>
        <w:t>本合同在执行中如发生争议，双方应协商解决</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协商不成，任何一方均可向甲方所在地</w:t>
      </w:r>
      <w:r>
        <w:rPr>
          <w:rFonts w:hint="eastAsia" w:ascii="仿宋" w:hAnsi="仿宋" w:eastAsia="仿宋" w:cs="仿宋"/>
          <w:color w:val="auto"/>
          <w:kern w:val="0"/>
          <w:sz w:val="32"/>
          <w:szCs w:val="32"/>
          <w:highlight w:val="none"/>
        </w:rPr>
        <w:t>有管辖权的</w:t>
      </w:r>
      <w:r>
        <w:rPr>
          <w:rFonts w:hint="eastAsia" w:ascii="仿宋" w:hAnsi="仿宋" w:eastAsia="仿宋" w:cs="仿宋"/>
          <w:color w:val="auto"/>
          <w:sz w:val="32"/>
          <w:szCs w:val="32"/>
          <w:highlight w:val="none"/>
        </w:rPr>
        <w:t>人民法院进行诉讼。</w:t>
      </w:r>
    </w:p>
    <w:p w14:paraId="523E4B64">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黑体" w:hAnsi="黑体" w:eastAsia="黑体" w:cs="黑体"/>
          <w:b w:val="0"/>
          <w:bCs/>
          <w:color w:val="auto"/>
          <w:kern w:val="0"/>
          <w:sz w:val="32"/>
          <w:szCs w:val="32"/>
          <w:highlight w:val="none"/>
        </w:rPr>
      </w:pPr>
      <w:r>
        <w:rPr>
          <w:rFonts w:hint="eastAsia" w:ascii="黑体" w:hAnsi="黑体" w:eastAsia="黑体" w:cs="黑体"/>
          <w:b w:val="0"/>
          <w:bCs/>
          <w:color w:val="auto"/>
          <w:kern w:val="0"/>
          <w:sz w:val="32"/>
          <w:szCs w:val="32"/>
          <w:highlight w:val="none"/>
          <w:lang w:val="en-US" w:eastAsia="zh-CN"/>
        </w:rPr>
        <w:t>十、</w:t>
      </w:r>
      <w:r>
        <w:rPr>
          <w:rFonts w:hint="eastAsia" w:ascii="黑体" w:hAnsi="黑体" w:eastAsia="黑体" w:cs="黑体"/>
          <w:b w:val="0"/>
          <w:bCs/>
          <w:color w:val="auto"/>
          <w:kern w:val="0"/>
          <w:sz w:val="32"/>
          <w:szCs w:val="32"/>
          <w:highlight w:val="none"/>
        </w:rPr>
        <w:t>合同生效及其他</w:t>
      </w:r>
    </w:p>
    <w:p w14:paraId="13CA7C84">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kern w:val="2"/>
          <w:sz w:val="32"/>
          <w:szCs w:val="32"/>
          <w:highlight w:val="none"/>
        </w:rPr>
      </w:pPr>
      <w:r>
        <w:rPr>
          <w:rFonts w:hint="eastAsia" w:ascii="仿宋" w:hAnsi="仿宋" w:eastAsia="仿宋" w:cs="仿宋"/>
          <w:b w:val="0"/>
          <w:color w:val="auto"/>
          <w:kern w:val="2"/>
          <w:sz w:val="32"/>
          <w:szCs w:val="32"/>
          <w:highlight w:val="none"/>
          <w:lang w:val="en-US" w:eastAsia="zh-CN"/>
        </w:rPr>
        <w:t>10.1</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kern w:val="2"/>
          <w:sz w:val="32"/>
          <w:szCs w:val="32"/>
          <w:highlight w:val="none"/>
        </w:rPr>
        <w:t>本合同</w:t>
      </w:r>
      <w:r>
        <w:rPr>
          <w:rFonts w:hint="eastAsia" w:ascii="仿宋" w:hAnsi="仿宋" w:eastAsia="仿宋" w:cs="仿宋"/>
          <w:color w:val="auto"/>
          <w:kern w:val="2"/>
          <w:sz w:val="32"/>
          <w:szCs w:val="32"/>
          <w:highlight w:val="none"/>
          <w:lang w:val="en-US" w:eastAsia="zh-CN"/>
        </w:rPr>
        <w:t>及</w:t>
      </w:r>
      <w:r>
        <w:rPr>
          <w:rFonts w:hint="eastAsia" w:ascii="仿宋" w:hAnsi="仿宋" w:eastAsia="仿宋" w:cs="仿宋"/>
          <w:color w:val="auto"/>
          <w:kern w:val="2"/>
          <w:sz w:val="32"/>
          <w:szCs w:val="32"/>
          <w:highlight w:val="none"/>
        </w:rPr>
        <w:t>所有附件、以及双方就本合同履行过程中签订的补充/变更协议经双方</w:t>
      </w:r>
      <w:r>
        <w:rPr>
          <w:rFonts w:hint="eastAsia" w:ascii="仿宋" w:hAnsi="仿宋" w:eastAsia="仿宋" w:cs="仿宋"/>
          <w:color w:val="auto"/>
          <w:sz w:val="32"/>
          <w:szCs w:val="32"/>
          <w:highlight w:val="none"/>
          <w:lang w:val="en-US" w:eastAsia="zh-CN"/>
        </w:rPr>
        <w:t>法定代表人或授权代表</w:t>
      </w:r>
      <w:r>
        <w:rPr>
          <w:rFonts w:hint="eastAsia" w:ascii="仿宋" w:hAnsi="仿宋" w:eastAsia="仿宋" w:cs="仿宋"/>
          <w:color w:val="auto"/>
          <w:sz w:val="32"/>
          <w:szCs w:val="32"/>
          <w:highlight w:val="none"/>
        </w:rPr>
        <w:t>签字</w:t>
      </w:r>
      <w:r>
        <w:rPr>
          <w:rFonts w:hint="eastAsia" w:ascii="仿宋" w:hAnsi="仿宋" w:eastAsia="仿宋" w:cs="仿宋"/>
          <w:color w:val="auto"/>
          <w:sz w:val="32"/>
          <w:szCs w:val="32"/>
          <w:highlight w:val="none"/>
          <w:lang w:val="en-US" w:eastAsia="zh-CN"/>
        </w:rPr>
        <w:t>并加盖公章或合同专用</w:t>
      </w:r>
      <w:r>
        <w:rPr>
          <w:rFonts w:hint="eastAsia" w:ascii="仿宋" w:hAnsi="仿宋" w:eastAsia="仿宋" w:cs="仿宋"/>
          <w:color w:val="auto"/>
          <w:sz w:val="32"/>
          <w:szCs w:val="32"/>
          <w:highlight w:val="none"/>
        </w:rPr>
        <w:t>章后生效</w:t>
      </w:r>
      <w:r>
        <w:rPr>
          <w:rFonts w:hint="eastAsia" w:ascii="仿宋" w:hAnsi="仿宋" w:eastAsia="仿宋" w:cs="仿宋"/>
          <w:color w:val="auto"/>
          <w:kern w:val="2"/>
          <w:sz w:val="32"/>
          <w:szCs w:val="32"/>
          <w:highlight w:val="none"/>
        </w:rPr>
        <w:t xml:space="preserve">。除上述约定外，本合同及其附件和其他往来文件、函件中任何位置上签字或盖章的任何个人、其他公司、组织或分支机构在任何时候不被视为甲方的委托代理人，除非甲方另行书面明确授权。 </w:t>
      </w:r>
    </w:p>
    <w:p w14:paraId="1DE56C64">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kern w:val="2"/>
          <w:sz w:val="32"/>
          <w:szCs w:val="32"/>
          <w:highlight w:val="none"/>
        </w:rPr>
      </w:pPr>
      <w:r>
        <w:rPr>
          <w:rFonts w:hint="eastAsia" w:ascii="仿宋" w:hAnsi="仿宋" w:eastAsia="仿宋" w:cs="仿宋"/>
          <w:b w:val="0"/>
          <w:color w:val="auto"/>
          <w:kern w:val="2"/>
          <w:sz w:val="32"/>
          <w:szCs w:val="32"/>
          <w:highlight w:val="none"/>
          <w:lang w:val="en-US" w:eastAsia="zh-CN"/>
        </w:rPr>
        <w:t>10.2</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kern w:val="2"/>
          <w:sz w:val="32"/>
          <w:szCs w:val="32"/>
          <w:highlight w:val="none"/>
        </w:rPr>
        <w:t>双方承诺本合同中的地址及联系方式全部可以送达，且系本合同通知及法律诉讼的送达地址。任何一项通知送达下面地址的视为送达，尽到通知义务。如任何一方地址变更的应当提前3日内书面通知对方。任何一项通知及书面材料在送达时接收方应当配合送达方签字确认，本人签收或他人(含商店等)代收均视为已有效送达;无论因何种原因导致邮件被退回的，退回日即为有效送达日。为便于通知及时到达对方，双方确认本合同所涉通知可采取邮箱方式进行送达，邮件一经发出即视为有效送达。</w:t>
      </w:r>
    </w:p>
    <w:p w14:paraId="0019FBDB">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10.3 </w:t>
      </w:r>
      <w:r>
        <w:rPr>
          <w:rFonts w:hint="eastAsia" w:ascii="仿宋" w:hAnsi="仿宋" w:eastAsia="仿宋" w:cs="仿宋"/>
          <w:color w:val="auto"/>
          <w:sz w:val="32"/>
          <w:szCs w:val="32"/>
          <w:highlight w:val="none"/>
        </w:rPr>
        <w:t>乙方必须与甲方签订《廉政</w:t>
      </w:r>
      <w:r>
        <w:rPr>
          <w:rFonts w:hint="eastAsia" w:ascii="仿宋" w:hAnsi="仿宋" w:eastAsia="仿宋" w:cs="仿宋"/>
          <w:color w:val="auto"/>
          <w:sz w:val="32"/>
          <w:szCs w:val="32"/>
          <w:highlight w:val="none"/>
          <w:lang w:val="en-US" w:eastAsia="zh-CN"/>
        </w:rPr>
        <w:t>从业</w:t>
      </w:r>
      <w:r>
        <w:rPr>
          <w:rFonts w:hint="eastAsia" w:ascii="仿宋" w:hAnsi="仿宋" w:eastAsia="仿宋" w:cs="仿宋"/>
          <w:color w:val="auto"/>
          <w:sz w:val="32"/>
          <w:szCs w:val="32"/>
          <w:highlight w:val="none"/>
        </w:rPr>
        <w:t>书》</w:t>
      </w:r>
      <w:r>
        <w:rPr>
          <w:rFonts w:hint="eastAsia" w:ascii="仿宋" w:hAnsi="仿宋" w:eastAsia="仿宋" w:cs="仿宋"/>
          <w:color w:val="auto"/>
          <w:sz w:val="32"/>
          <w:szCs w:val="32"/>
          <w:highlight w:val="none"/>
          <w:lang w:eastAsia="zh-CN"/>
        </w:rPr>
        <w:t>、《安全责任协议》</w:t>
      </w:r>
      <w:r>
        <w:rPr>
          <w:rFonts w:hint="eastAsia" w:ascii="仿宋" w:hAnsi="仿宋" w:eastAsia="仿宋" w:cs="仿宋"/>
          <w:color w:val="auto"/>
          <w:sz w:val="32"/>
          <w:szCs w:val="32"/>
          <w:highlight w:val="none"/>
        </w:rPr>
        <w:t>作为本合同附件，甲乙双方各执一份，与本合同具有同等法律效力。</w:t>
      </w:r>
    </w:p>
    <w:p w14:paraId="6B1224A1">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b w:val="0"/>
          <w:color w:val="auto"/>
          <w:kern w:val="2"/>
          <w:sz w:val="32"/>
          <w:szCs w:val="32"/>
          <w:highlight w:val="none"/>
          <w:lang w:val="en-US" w:eastAsia="zh-CN"/>
        </w:rPr>
      </w:pPr>
      <w:r>
        <w:rPr>
          <w:rFonts w:hint="eastAsia" w:ascii="仿宋" w:hAnsi="仿宋" w:eastAsia="仿宋" w:cs="仿宋"/>
          <w:color w:val="auto"/>
          <w:sz w:val="32"/>
          <w:szCs w:val="32"/>
          <w:highlight w:val="none"/>
          <w:lang w:val="en-US" w:eastAsia="zh-CN"/>
        </w:rPr>
        <w:t xml:space="preserve">10.4 </w:t>
      </w:r>
      <w:r>
        <w:rPr>
          <w:rFonts w:hint="eastAsia" w:ascii="仿宋" w:hAnsi="仿宋" w:eastAsia="仿宋" w:cs="仿宋"/>
          <w:color w:val="auto"/>
          <w:sz w:val="32"/>
          <w:szCs w:val="32"/>
          <w:highlight w:val="none"/>
          <w:lang w:eastAsia="zh-CN"/>
        </w:rPr>
        <w:t>乙方</w:t>
      </w:r>
      <w:r>
        <w:rPr>
          <w:rFonts w:hint="eastAsia" w:ascii="仿宋" w:hAnsi="仿宋" w:eastAsia="仿宋" w:cs="仿宋"/>
          <w:color w:val="auto"/>
          <w:sz w:val="32"/>
          <w:szCs w:val="32"/>
          <w:highlight w:val="none"/>
        </w:rPr>
        <w:t>不能</w:t>
      </w:r>
      <w:r>
        <w:rPr>
          <w:rFonts w:hint="eastAsia" w:ascii="仿宋" w:hAnsi="仿宋" w:eastAsia="仿宋" w:cs="仿宋"/>
          <w:color w:val="auto"/>
          <w:sz w:val="32"/>
          <w:szCs w:val="32"/>
          <w:highlight w:val="none"/>
          <w:lang w:eastAsia="zh-CN"/>
        </w:rPr>
        <w:t>将</w:t>
      </w:r>
      <w:r>
        <w:rPr>
          <w:rFonts w:hint="eastAsia" w:ascii="仿宋" w:hAnsi="仿宋" w:eastAsia="仿宋" w:cs="仿宋"/>
          <w:color w:val="auto"/>
          <w:sz w:val="32"/>
          <w:szCs w:val="32"/>
          <w:highlight w:val="none"/>
        </w:rPr>
        <w:t>本合同用</w:t>
      </w:r>
      <w:r>
        <w:rPr>
          <w:rFonts w:hint="eastAsia" w:ascii="仿宋" w:hAnsi="仿宋" w:eastAsia="仿宋" w:cs="仿宋"/>
          <w:color w:val="auto"/>
          <w:sz w:val="32"/>
          <w:szCs w:val="32"/>
          <w:highlight w:val="none"/>
          <w:lang w:eastAsia="zh-CN"/>
        </w:rPr>
        <w:t>于</w:t>
      </w:r>
      <w:r>
        <w:rPr>
          <w:rFonts w:hint="eastAsia" w:ascii="仿宋" w:hAnsi="仿宋" w:eastAsia="仿宋" w:cs="仿宋"/>
          <w:color w:val="auto"/>
          <w:sz w:val="32"/>
          <w:szCs w:val="32"/>
          <w:highlight w:val="none"/>
        </w:rPr>
        <w:t>贷款、抵押、融资</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金融</w:t>
      </w:r>
      <w:r>
        <w:rPr>
          <w:rFonts w:hint="eastAsia" w:ascii="仿宋" w:hAnsi="仿宋" w:eastAsia="仿宋" w:cs="仿宋"/>
          <w:color w:val="auto"/>
          <w:sz w:val="32"/>
          <w:szCs w:val="32"/>
          <w:highlight w:val="none"/>
          <w:lang w:eastAsia="zh-CN"/>
        </w:rPr>
        <w:t>、保理（华电保理</w:t>
      </w:r>
      <w:r>
        <w:rPr>
          <w:rFonts w:hint="eastAsia" w:ascii="仿宋" w:hAnsi="仿宋" w:eastAsia="仿宋" w:cs="仿宋"/>
          <w:b w:val="0"/>
          <w:color w:val="auto"/>
          <w:kern w:val="2"/>
          <w:sz w:val="32"/>
          <w:szCs w:val="32"/>
          <w:highlight w:val="none"/>
          <w:lang w:val="en-US" w:eastAsia="zh-CN"/>
        </w:rPr>
        <w:t>除外）业务，</w:t>
      </w:r>
      <w:r>
        <w:rPr>
          <w:rFonts w:hint="default" w:ascii="仿宋" w:hAnsi="仿宋" w:eastAsia="仿宋" w:cs="仿宋"/>
          <w:b w:val="0"/>
          <w:color w:val="auto"/>
          <w:kern w:val="2"/>
          <w:sz w:val="32"/>
          <w:szCs w:val="32"/>
          <w:highlight w:val="none"/>
          <w:lang w:val="en-US" w:eastAsia="zh-CN"/>
        </w:rPr>
        <w:t>乙方</w:t>
      </w:r>
      <w:r>
        <w:rPr>
          <w:rFonts w:hint="eastAsia" w:ascii="仿宋" w:hAnsi="仿宋" w:eastAsia="仿宋" w:cs="仿宋"/>
          <w:b w:val="0"/>
          <w:color w:val="auto"/>
          <w:kern w:val="2"/>
          <w:sz w:val="32"/>
          <w:szCs w:val="32"/>
          <w:highlight w:val="none"/>
          <w:lang w:val="en-US" w:eastAsia="zh-CN"/>
        </w:rPr>
        <w:t>如</w:t>
      </w:r>
      <w:r>
        <w:rPr>
          <w:rFonts w:hint="default" w:ascii="仿宋" w:hAnsi="仿宋" w:eastAsia="仿宋" w:cs="仿宋"/>
          <w:b w:val="0"/>
          <w:color w:val="auto"/>
          <w:kern w:val="2"/>
          <w:sz w:val="32"/>
          <w:szCs w:val="32"/>
          <w:highlight w:val="none"/>
          <w:lang w:val="en-US" w:eastAsia="zh-CN"/>
        </w:rPr>
        <w:t>擅自将合同用于上述目的</w:t>
      </w:r>
      <w:r>
        <w:rPr>
          <w:rFonts w:hint="eastAsia" w:ascii="仿宋" w:hAnsi="仿宋" w:eastAsia="仿宋" w:cs="仿宋"/>
          <w:b w:val="0"/>
          <w:color w:val="auto"/>
          <w:kern w:val="2"/>
          <w:sz w:val="32"/>
          <w:szCs w:val="32"/>
          <w:highlight w:val="none"/>
          <w:lang w:val="en-US" w:eastAsia="zh-CN"/>
        </w:rPr>
        <w:t>，甲方有权按照结算价款的30%在结算价款中扣除相应违约金。</w:t>
      </w:r>
    </w:p>
    <w:p w14:paraId="66C8B703">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b w:val="0"/>
          <w:color w:val="auto"/>
          <w:kern w:val="2"/>
          <w:sz w:val="32"/>
          <w:szCs w:val="32"/>
          <w:highlight w:val="none"/>
          <w:lang w:val="en-US" w:eastAsia="zh-CN"/>
        </w:rPr>
        <w:t>10.5 本合同未尽事宜由双方协商解决或</w:t>
      </w:r>
      <w:r>
        <w:rPr>
          <w:rFonts w:hint="eastAsia" w:ascii="仿宋" w:hAnsi="仿宋" w:eastAsia="仿宋" w:cs="仿宋"/>
          <w:color w:val="auto"/>
          <w:sz w:val="32"/>
          <w:szCs w:val="32"/>
          <w:highlight w:val="none"/>
        </w:rPr>
        <w:t>签订补充协议，补充协议与本合同具有同等法律效力，补充协议与本合同不一致的以补充协议为准。</w:t>
      </w:r>
    </w:p>
    <w:p w14:paraId="1852E772">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10.6 本合同执行期限届满后，合同自动终止。如双方尚未履行完毕本合同项下权利义务的，仍应按本合同约定执行；期限届满后，双方不再按本合同约定履行新批次、新交易内容的煤炭买卖权利义务。</w:t>
      </w:r>
    </w:p>
    <w:p w14:paraId="2ADBC276">
      <w:pPr>
        <w:keepNext w:val="0"/>
        <w:keepLines w:val="0"/>
        <w:pageBreakBefore w:val="0"/>
        <w:widowControl w:val="0"/>
        <w:numPr>
          <w:ilvl w:val="0"/>
          <w:numId w:val="0"/>
        </w:numPr>
        <w:shd w:val="clear" w:fill="FFFFFF" w:themeFill="background1"/>
        <w:kinsoku/>
        <w:wordWrap/>
        <w:overflowPunct/>
        <w:topLinePunct w:val="0"/>
        <w:autoSpaceDE/>
        <w:autoSpaceDN/>
        <w:bidi w:val="0"/>
        <w:adjustRightInd/>
        <w:snapToGrid/>
        <w:spacing w:beforeAutospacing="0" w:afterAutospacing="0" w:line="560" w:lineRule="exact"/>
        <w:ind w:left="0" w:leftChars="0" w:right="0" w:righ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 xml:space="preserve">10.7 </w:t>
      </w:r>
      <w:r>
        <w:rPr>
          <w:rFonts w:hint="eastAsia" w:ascii="仿宋" w:hAnsi="仿宋" w:eastAsia="仿宋" w:cs="仿宋"/>
          <w:color w:val="auto"/>
          <w:kern w:val="2"/>
          <w:sz w:val="32"/>
          <w:szCs w:val="32"/>
          <w:highlight w:val="none"/>
        </w:rPr>
        <w:t>本合同</w:t>
      </w:r>
      <w:r>
        <w:rPr>
          <w:rFonts w:hint="eastAsia" w:ascii="仿宋" w:hAnsi="仿宋" w:eastAsia="仿宋" w:cs="仿宋"/>
          <w:color w:val="auto"/>
          <w:sz w:val="32"/>
          <w:szCs w:val="32"/>
          <w:highlight w:val="none"/>
        </w:rPr>
        <w:t>正本一式</w:t>
      </w:r>
      <w:r>
        <w:rPr>
          <w:rFonts w:hint="eastAsia" w:ascii="仿宋" w:hAnsi="仿宋" w:eastAsia="仿宋" w:cs="仿宋"/>
          <w:color w:val="auto"/>
          <w:sz w:val="32"/>
          <w:szCs w:val="32"/>
          <w:highlight w:val="none"/>
          <w:u w:val="single"/>
          <w:lang w:val="en-US" w:eastAsia="zh-CN"/>
        </w:rPr>
        <w:t>六</w:t>
      </w:r>
      <w:r>
        <w:rPr>
          <w:rFonts w:hint="eastAsia" w:ascii="仿宋" w:hAnsi="仿宋" w:eastAsia="仿宋" w:cs="仿宋"/>
          <w:color w:val="auto"/>
          <w:sz w:val="32"/>
          <w:szCs w:val="32"/>
          <w:highlight w:val="none"/>
        </w:rPr>
        <w:t>份，</w:t>
      </w:r>
      <w:r>
        <w:rPr>
          <w:rFonts w:hint="eastAsia" w:ascii="仿宋" w:hAnsi="仿宋" w:eastAsia="仿宋" w:cs="仿宋"/>
          <w:color w:val="auto"/>
          <w:sz w:val="32"/>
          <w:szCs w:val="32"/>
          <w:highlight w:val="none"/>
          <w:lang w:val="en-US" w:eastAsia="zh-CN"/>
        </w:rPr>
        <w:t>甲、乙双方各执</w:t>
      </w:r>
      <w:r>
        <w:rPr>
          <w:rFonts w:hint="eastAsia" w:ascii="仿宋" w:hAnsi="仿宋" w:eastAsia="仿宋" w:cs="仿宋"/>
          <w:color w:val="auto"/>
          <w:sz w:val="32"/>
          <w:szCs w:val="32"/>
          <w:highlight w:val="none"/>
          <w:u w:val="single"/>
          <w:lang w:val="en-US" w:eastAsia="zh-CN"/>
        </w:rPr>
        <w:t>三</w:t>
      </w:r>
      <w:r>
        <w:rPr>
          <w:rFonts w:hint="eastAsia" w:ascii="仿宋" w:hAnsi="仿宋" w:eastAsia="仿宋" w:cs="仿宋"/>
          <w:color w:val="auto"/>
          <w:sz w:val="32"/>
          <w:szCs w:val="32"/>
          <w:highlight w:val="none"/>
          <w:lang w:val="en-US" w:eastAsia="zh-CN"/>
        </w:rPr>
        <w:t>份</w:t>
      </w:r>
      <w:r>
        <w:rPr>
          <w:rFonts w:hint="eastAsia" w:ascii="仿宋" w:hAnsi="仿宋" w:eastAsia="仿宋" w:cs="仿宋"/>
          <w:color w:val="auto"/>
          <w:sz w:val="32"/>
          <w:szCs w:val="32"/>
          <w:highlight w:val="none"/>
        </w:rPr>
        <w:t>。</w:t>
      </w:r>
    </w:p>
    <w:p w14:paraId="224D4620">
      <w:pPr>
        <w:keepNext w:val="0"/>
        <w:keepLines w:val="0"/>
        <w:pageBreakBefore w:val="0"/>
        <w:shd w:val="clear" w:fill="FFFFFF" w:themeFill="background1"/>
        <w:kinsoku/>
        <w:overflowPunct/>
        <w:topLinePunct w:val="0"/>
        <w:autoSpaceDE/>
        <w:autoSpaceDN/>
        <w:bidi w:val="0"/>
        <w:adjustRightInd/>
        <w:snapToGrid/>
        <w:spacing w:beforeAutospacing="0" w:afterAutospacing="0"/>
        <w:ind w:left="0" w:leftChars="0" w:right="0" w:rightChars="0"/>
        <w:textAlignment w:val="auto"/>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w:t>
      </w:r>
    </w:p>
    <w:p w14:paraId="247A8E50">
      <w:pPr>
        <w:keepNext w:val="0"/>
        <w:keepLines w:val="0"/>
        <w:pageBreakBefore w:val="0"/>
        <w:shd w:val="clear" w:fill="FFFFFF" w:themeFill="background1"/>
        <w:kinsoku/>
        <w:overflowPunct/>
        <w:topLinePunct w:val="0"/>
        <w:autoSpaceDE/>
        <w:autoSpaceDN/>
        <w:bidi w:val="0"/>
        <w:adjustRightInd/>
        <w:snapToGrid/>
        <w:spacing w:beforeAutospacing="0" w:afterAutospacing="0"/>
        <w:ind w:left="0" w:leftChars="0" w:right="0" w:rightChars="0"/>
        <w:textAlignment w:val="auto"/>
        <w:rPr>
          <w:rFonts w:hint="eastAsia" w:ascii="宋体" w:hAnsi="宋体" w:eastAsia="宋体" w:cs="宋体"/>
          <w:color w:val="auto"/>
          <w:sz w:val="32"/>
          <w:szCs w:val="32"/>
          <w:highlight w:val="none"/>
        </w:rPr>
      </w:pPr>
    </w:p>
    <w:p w14:paraId="2B1DA455">
      <w:pPr>
        <w:pStyle w:val="6"/>
        <w:shd w:val="clear" w:fill="FFFFFF" w:themeFill="background1"/>
        <w:rPr>
          <w:rFonts w:hint="eastAsia"/>
          <w:color w:val="auto"/>
          <w:sz w:val="32"/>
          <w:szCs w:val="32"/>
          <w:highlight w:val="none"/>
        </w:rPr>
      </w:pPr>
    </w:p>
    <w:p w14:paraId="268BE484">
      <w:pPr>
        <w:pStyle w:val="6"/>
        <w:shd w:val="clear" w:fill="FFFFFF" w:themeFill="background1"/>
        <w:rPr>
          <w:rFonts w:hint="eastAsia"/>
          <w:color w:val="auto"/>
          <w:sz w:val="32"/>
          <w:szCs w:val="32"/>
          <w:highlight w:val="none"/>
        </w:rPr>
      </w:pPr>
    </w:p>
    <w:p w14:paraId="3DBA1C38">
      <w:pPr>
        <w:pStyle w:val="6"/>
        <w:shd w:val="clear" w:fill="FFFFFF" w:themeFill="background1"/>
        <w:rPr>
          <w:rFonts w:hint="eastAsia"/>
          <w:color w:val="auto"/>
          <w:sz w:val="32"/>
          <w:szCs w:val="32"/>
          <w:highlight w:val="none"/>
        </w:rPr>
      </w:pPr>
    </w:p>
    <w:p w14:paraId="0324D61C">
      <w:pPr>
        <w:pStyle w:val="6"/>
        <w:shd w:val="clear" w:fill="FFFFFF" w:themeFill="background1"/>
        <w:rPr>
          <w:rFonts w:hint="eastAsia"/>
          <w:color w:val="auto"/>
          <w:sz w:val="32"/>
          <w:szCs w:val="32"/>
          <w:highlight w:val="none"/>
        </w:rPr>
      </w:pPr>
    </w:p>
    <w:p w14:paraId="186D2742">
      <w:pPr>
        <w:shd w:val="clear" w:fill="FFFFFF" w:themeFill="background1"/>
        <w:rPr>
          <w:rFonts w:hint="eastAsia" w:ascii="仿宋" w:hAnsi="仿宋" w:eastAsia="仿宋" w:cs="仿宋"/>
          <w:color w:val="auto"/>
          <w:sz w:val="32"/>
          <w:szCs w:val="32"/>
          <w:highlight w:val="none"/>
        </w:rPr>
      </w:pPr>
    </w:p>
    <w:p w14:paraId="597BAF60">
      <w:pPr>
        <w:shd w:val="clear" w:fill="FFFFFF" w:themeFill="background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14:paraId="63E0C70A">
      <w:pPr>
        <w:shd w:val="clear" w:fill="FFFFFF" w:themeFill="background1"/>
        <w:tabs>
          <w:tab w:val="left" w:pos="0"/>
        </w:tabs>
        <w:spacing w:line="560" w:lineRule="exact"/>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（签字页，本页无正文）</w:t>
      </w:r>
    </w:p>
    <w:p w14:paraId="18F89A30">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甲</w:t>
      </w:r>
      <w:r>
        <w:rPr>
          <w:rFonts w:hint="eastAsia" w:ascii="仿宋" w:hAnsi="仿宋" w:eastAsia="仿宋" w:cs="仿宋"/>
          <w:color w:val="auto"/>
          <w:kern w:val="0"/>
          <w:sz w:val="32"/>
          <w:szCs w:val="32"/>
          <w:highlight w:val="none"/>
        </w:rPr>
        <w:t>方：</w:t>
      </w:r>
    </w:p>
    <w:p w14:paraId="567030CF">
      <w:pPr>
        <w:pStyle w:val="2"/>
        <w:ind w:left="0" w:leftChars="0" w:firstLine="0" w:firstLineChars="0"/>
      </w:pPr>
      <w:r>
        <w:rPr>
          <w:rFonts w:hint="eastAsia" w:ascii="仿宋" w:hAnsi="仿宋" w:eastAsia="仿宋" w:cs="仿宋"/>
          <w:color w:val="auto"/>
          <w:kern w:val="0"/>
          <w:sz w:val="32"/>
          <w:szCs w:val="32"/>
          <w:highlight w:val="none"/>
        </w:rPr>
        <w:t>(盖章)</w:t>
      </w:r>
    </w:p>
    <w:p w14:paraId="1BCD588A">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rPr>
        <w:t>法定代表人</w:t>
      </w:r>
      <w:r>
        <w:rPr>
          <w:rFonts w:hint="eastAsia" w:ascii="仿宋" w:hAnsi="仿宋" w:eastAsia="仿宋" w:cs="仿宋"/>
          <w:color w:val="auto"/>
          <w:kern w:val="0"/>
          <w:sz w:val="32"/>
          <w:szCs w:val="32"/>
          <w:highlight w:val="none"/>
          <w:lang w:eastAsia="zh-CN"/>
        </w:rPr>
        <w:t>：</w:t>
      </w:r>
    </w:p>
    <w:p w14:paraId="205F3B52">
      <w:pPr>
        <w:keepNext w:val="0"/>
        <w:keepLines w:val="0"/>
        <w:pageBreakBefore w:val="0"/>
        <w:widowControl/>
        <w:shd w:val="clear"/>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或</w:t>
      </w:r>
    </w:p>
    <w:p w14:paraId="0ADB124A">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委托代理人：</w:t>
      </w:r>
    </w:p>
    <w:p w14:paraId="54A1B82C">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 xml:space="preserve">签订日期：   年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月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 日</w:t>
      </w:r>
    </w:p>
    <w:p w14:paraId="660C3183">
      <w:pPr>
        <w:pStyle w:val="2"/>
        <w:rPr>
          <w:rFonts w:hint="default"/>
        </w:rPr>
      </w:pPr>
    </w:p>
    <w:p w14:paraId="57EB1756">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lang w:val="en-US" w:eastAsia="zh-CN"/>
        </w:rPr>
        <w:t>乙</w:t>
      </w:r>
      <w:r>
        <w:rPr>
          <w:rFonts w:hint="eastAsia" w:ascii="仿宋" w:hAnsi="仿宋" w:eastAsia="仿宋" w:cs="仿宋"/>
          <w:color w:val="auto"/>
          <w:kern w:val="0"/>
          <w:sz w:val="32"/>
          <w:szCs w:val="32"/>
          <w:highlight w:val="none"/>
        </w:rPr>
        <w:t>方：</w:t>
      </w:r>
    </w:p>
    <w:p w14:paraId="500E266C">
      <w:pPr>
        <w:pStyle w:val="2"/>
        <w:ind w:left="0" w:leftChars="0" w:firstLine="0" w:firstLineChars="0"/>
      </w:pPr>
      <w:r>
        <w:rPr>
          <w:rFonts w:hint="eastAsia" w:ascii="仿宋" w:hAnsi="仿宋" w:eastAsia="仿宋" w:cs="仿宋"/>
          <w:color w:val="auto"/>
          <w:kern w:val="0"/>
          <w:sz w:val="32"/>
          <w:szCs w:val="32"/>
          <w:highlight w:val="none"/>
        </w:rPr>
        <w:t>(盖章)</w:t>
      </w:r>
    </w:p>
    <w:p w14:paraId="6D76869B">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kern w:val="0"/>
          <w:sz w:val="32"/>
          <w:szCs w:val="32"/>
          <w:highlight w:val="none"/>
        </w:rPr>
        <w:t>法定代表人</w:t>
      </w:r>
      <w:r>
        <w:rPr>
          <w:rFonts w:hint="eastAsia" w:ascii="仿宋" w:hAnsi="仿宋" w:eastAsia="仿宋" w:cs="仿宋"/>
          <w:color w:val="auto"/>
          <w:kern w:val="0"/>
          <w:sz w:val="32"/>
          <w:szCs w:val="32"/>
          <w:highlight w:val="none"/>
          <w:lang w:eastAsia="zh-CN"/>
        </w:rPr>
        <w:t>：</w:t>
      </w:r>
    </w:p>
    <w:p w14:paraId="3913EE65">
      <w:pPr>
        <w:keepNext w:val="0"/>
        <w:keepLines w:val="0"/>
        <w:pageBreakBefore w:val="0"/>
        <w:widowControl/>
        <w:shd w:val="clear"/>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或</w:t>
      </w:r>
    </w:p>
    <w:p w14:paraId="348D3478">
      <w:pPr>
        <w:keepNext w:val="0"/>
        <w:keepLines w:val="0"/>
        <w:pageBreakBefore w:val="0"/>
        <w:widowControl/>
        <w:shd w:val="clear"/>
        <w:kinsoku/>
        <w:wordWrap/>
        <w:overflowPunct/>
        <w:topLinePunct w:val="0"/>
        <w:autoSpaceDE/>
        <w:autoSpaceDN/>
        <w:bidi w:val="0"/>
        <w:adjustRightInd/>
        <w:spacing w:line="560" w:lineRule="exact"/>
        <w:jc w:val="left"/>
        <w:textAlignment w:val="auto"/>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委托代理人：</w:t>
      </w:r>
    </w:p>
    <w:p w14:paraId="69D5ED22">
      <w:pPr>
        <w:keepNext w:val="0"/>
        <w:keepLines w:val="0"/>
        <w:pageBreakBefore w:val="0"/>
        <w:widowControl w:val="0"/>
        <w:shd w:val="clear"/>
        <w:kinsoku/>
        <w:wordWrap/>
        <w:overflowPunct/>
        <w:topLinePunct w:val="0"/>
        <w:autoSpaceDE/>
        <w:autoSpaceDN/>
        <w:bidi w:val="0"/>
        <w:adjustRightInd/>
        <w:spacing w:line="560" w:lineRule="exact"/>
        <w:jc w:val="left"/>
        <w:textAlignment w:val="auto"/>
        <w:rPr>
          <w:rFonts w:hint="eastAsia"/>
          <w:color w:val="auto"/>
          <w:highlight w:val="none"/>
          <w:lang w:val="en-US" w:eastAsia="zh-CN"/>
        </w:rPr>
      </w:pPr>
      <w:r>
        <w:rPr>
          <w:rFonts w:hint="eastAsia" w:ascii="仿宋" w:hAnsi="仿宋" w:eastAsia="仿宋" w:cs="仿宋"/>
          <w:color w:val="auto"/>
          <w:sz w:val="32"/>
          <w:szCs w:val="32"/>
          <w:highlight w:val="none"/>
        </w:rPr>
        <w:t xml:space="preserve">签订日期：   年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 xml:space="preserve">月  </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日</w:t>
      </w:r>
    </w:p>
    <w:p w14:paraId="639A1629">
      <w:pPr>
        <w:shd w:val="clear" w:fill="FFFFFF" w:themeFill="background1"/>
        <w:rPr>
          <w:highlight w:val="none"/>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C47EF">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2582545</wp:posOffset>
              </wp:positionH>
              <wp:positionV relativeFrom="paragraph">
                <wp:posOffset>-114300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CDFDAD">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3.35pt;margin-top:-9pt;height:144pt;width:144pt;mso-position-horizontal-relative:margin;mso-wrap-style:none;z-index:251659264;mso-width-relative:page;mso-height-relative:page;" filled="f" stroked="f" coordsize="21600,21600" o:gfxdata="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WqSWrYAAAACwEAAA8AAAAAAAAAAQAgAAAAIgAAAGRycy9kb3ducmV2Lnht&#10;bFBLAQIUABQAAAAIAIdO4kDhgNOOMgIAAGEEAAAOAAAAAAAAAAEAIAAAACcBAABkcnMvZTJvRG9j&#10;LnhtbFBLBQYAAAAABgAGAFkBAADLBQAAAAA=&#10;">
              <v:fill on="f" focussize="0,0"/>
              <v:stroke on="f" weight="0.5pt"/>
              <v:imagedata o:title=""/>
              <o:lock v:ext="edit" aspectratio="f"/>
              <v:textbox inset="0mm,0mm,0mm,0mm" style="mso-fit-shape-to-text:t;">
                <w:txbxContent>
                  <w:p w14:paraId="21CDFDAD">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4YjMzYmU1YjEyMzdlY2EyZWQwMTgzNWRhNWZiMWQifQ=="/>
  </w:docVars>
  <w:rsids>
    <w:rsidRoot w:val="00172A27"/>
    <w:rsid w:val="000273CC"/>
    <w:rsid w:val="00307A95"/>
    <w:rsid w:val="0032092D"/>
    <w:rsid w:val="003F3C3D"/>
    <w:rsid w:val="0049512B"/>
    <w:rsid w:val="00513269"/>
    <w:rsid w:val="00561963"/>
    <w:rsid w:val="005B588A"/>
    <w:rsid w:val="00615896"/>
    <w:rsid w:val="00635B05"/>
    <w:rsid w:val="00845EB1"/>
    <w:rsid w:val="00942525"/>
    <w:rsid w:val="0097320C"/>
    <w:rsid w:val="00995158"/>
    <w:rsid w:val="00A57C38"/>
    <w:rsid w:val="00AA6751"/>
    <w:rsid w:val="00BA18A2"/>
    <w:rsid w:val="00BF4546"/>
    <w:rsid w:val="00C6531E"/>
    <w:rsid w:val="00D3446C"/>
    <w:rsid w:val="00E24453"/>
    <w:rsid w:val="00F52005"/>
    <w:rsid w:val="00F64C2B"/>
    <w:rsid w:val="0100669E"/>
    <w:rsid w:val="010C1918"/>
    <w:rsid w:val="010E30B2"/>
    <w:rsid w:val="010F2F55"/>
    <w:rsid w:val="011617D6"/>
    <w:rsid w:val="011F2C0E"/>
    <w:rsid w:val="01542D70"/>
    <w:rsid w:val="01562BFC"/>
    <w:rsid w:val="0163331A"/>
    <w:rsid w:val="019411CD"/>
    <w:rsid w:val="019627D1"/>
    <w:rsid w:val="01A1271F"/>
    <w:rsid w:val="01A131CA"/>
    <w:rsid w:val="01A26360"/>
    <w:rsid w:val="01AF1488"/>
    <w:rsid w:val="01B94C43"/>
    <w:rsid w:val="01BD38B8"/>
    <w:rsid w:val="01BF5615"/>
    <w:rsid w:val="01DB673D"/>
    <w:rsid w:val="01F04629"/>
    <w:rsid w:val="01F176F8"/>
    <w:rsid w:val="01F5403E"/>
    <w:rsid w:val="01FA4640"/>
    <w:rsid w:val="01FB4F8E"/>
    <w:rsid w:val="02055946"/>
    <w:rsid w:val="020F1779"/>
    <w:rsid w:val="02121F03"/>
    <w:rsid w:val="021B07BA"/>
    <w:rsid w:val="023032ED"/>
    <w:rsid w:val="0231193F"/>
    <w:rsid w:val="02736CE1"/>
    <w:rsid w:val="027767CC"/>
    <w:rsid w:val="027973F1"/>
    <w:rsid w:val="02901490"/>
    <w:rsid w:val="029171D2"/>
    <w:rsid w:val="02B85DBE"/>
    <w:rsid w:val="02BA3F8E"/>
    <w:rsid w:val="02BE6CCE"/>
    <w:rsid w:val="02C71F97"/>
    <w:rsid w:val="02E9121E"/>
    <w:rsid w:val="02F27A12"/>
    <w:rsid w:val="02F7268E"/>
    <w:rsid w:val="03041062"/>
    <w:rsid w:val="032A2EC2"/>
    <w:rsid w:val="03457EDF"/>
    <w:rsid w:val="035C0FFC"/>
    <w:rsid w:val="036068E4"/>
    <w:rsid w:val="039300D1"/>
    <w:rsid w:val="03A326CD"/>
    <w:rsid w:val="03C6311E"/>
    <w:rsid w:val="03CE3A80"/>
    <w:rsid w:val="03E34BC7"/>
    <w:rsid w:val="040826F4"/>
    <w:rsid w:val="04301327"/>
    <w:rsid w:val="043A2258"/>
    <w:rsid w:val="044546B5"/>
    <w:rsid w:val="04481C17"/>
    <w:rsid w:val="045B1DEE"/>
    <w:rsid w:val="046626EF"/>
    <w:rsid w:val="04773D6E"/>
    <w:rsid w:val="04837395"/>
    <w:rsid w:val="048C15FC"/>
    <w:rsid w:val="04B0582C"/>
    <w:rsid w:val="04B95A64"/>
    <w:rsid w:val="04BD4C72"/>
    <w:rsid w:val="04C953EC"/>
    <w:rsid w:val="04E16481"/>
    <w:rsid w:val="04EC3176"/>
    <w:rsid w:val="04F52E10"/>
    <w:rsid w:val="050B5F86"/>
    <w:rsid w:val="051B3011"/>
    <w:rsid w:val="05266EFE"/>
    <w:rsid w:val="054B0532"/>
    <w:rsid w:val="054D307F"/>
    <w:rsid w:val="05531204"/>
    <w:rsid w:val="055C5317"/>
    <w:rsid w:val="05695D95"/>
    <w:rsid w:val="056E0D65"/>
    <w:rsid w:val="05752388"/>
    <w:rsid w:val="05843B78"/>
    <w:rsid w:val="058567FC"/>
    <w:rsid w:val="05B4030F"/>
    <w:rsid w:val="05B81935"/>
    <w:rsid w:val="05BD531D"/>
    <w:rsid w:val="05F17050"/>
    <w:rsid w:val="05F20674"/>
    <w:rsid w:val="060A6F03"/>
    <w:rsid w:val="0617490F"/>
    <w:rsid w:val="064029FC"/>
    <w:rsid w:val="064238EC"/>
    <w:rsid w:val="064A03B4"/>
    <w:rsid w:val="064E2763"/>
    <w:rsid w:val="06583822"/>
    <w:rsid w:val="0669700E"/>
    <w:rsid w:val="06785B18"/>
    <w:rsid w:val="067D750D"/>
    <w:rsid w:val="06970660"/>
    <w:rsid w:val="069E22E7"/>
    <w:rsid w:val="06A01DD4"/>
    <w:rsid w:val="06A67925"/>
    <w:rsid w:val="06AE2CCD"/>
    <w:rsid w:val="06AF3BF5"/>
    <w:rsid w:val="06BB124F"/>
    <w:rsid w:val="06E30E2E"/>
    <w:rsid w:val="06F67560"/>
    <w:rsid w:val="06FD1AD2"/>
    <w:rsid w:val="071251DD"/>
    <w:rsid w:val="07417D81"/>
    <w:rsid w:val="0751020E"/>
    <w:rsid w:val="07511016"/>
    <w:rsid w:val="076374C2"/>
    <w:rsid w:val="076B6E67"/>
    <w:rsid w:val="076E54AD"/>
    <w:rsid w:val="07745822"/>
    <w:rsid w:val="0776713C"/>
    <w:rsid w:val="07773519"/>
    <w:rsid w:val="07835D0F"/>
    <w:rsid w:val="07857848"/>
    <w:rsid w:val="07AB2622"/>
    <w:rsid w:val="07B3284F"/>
    <w:rsid w:val="07B72FAF"/>
    <w:rsid w:val="07C44F84"/>
    <w:rsid w:val="07C81C49"/>
    <w:rsid w:val="07F54C98"/>
    <w:rsid w:val="08083D20"/>
    <w:rsid w:val="080B5C10"/>
    <w:rsid w:val="081232CB"/>
    <w:rsid w:val="0812522C"/>
    <w:rsid w:val="0816371A"/>
    <w:rsid w:val="08384A09"/>
    <w:rsid w:val="083F6336"/>
    <w:rsid w:val="08461997"/>
    <w:rsid w:val="08532E3B"/>
    <w:rsid w:val="08536108"/>
    <w:rsid w:val="0856628F"/>
    <w:rsid w:val="086771F7"/>
    <w:rsid w:val="086C39D0"/>
    <w:rsid w:val="087260AD"/>
    <w:rsid w:val="0873206B"/>
    <w:rsid w:val="087F68F9"/>
    <w:rsid w:val="08825912"/>
    <w:rsid w:val="089665D8"/>
    <w:rsid w:val="08A12424"/>
    <w:rsid w:val="08CA4A83"/>
    <w:rsid w:val="08E548B5"/>
    <w:rsid w:val="08F0654D"/>
    <w:rsid w:val="08F456F9"/>
    <w:rsid w:val="090360D7"/>
    <w:rsid w:val="090C332C"/>
    <w:rsid w:val="09117941"/>
    <w:rsid w:val="09121C49"/>
    <w:rsid w:val="09137C40"/>
    <w:rsid w:val="09144D03"/>
    <w:rsid w:val="09174046"/>
    <w:rsid w:val="091C6315"/>
    <w:rsid w:val="0925784F"/>
    <w:rsid w:val="09290DB0"/>
    <w:rsid w:val="092F3FEB"/>
    <w:rsid w:val="09325D23"/>
    <w:rsid w:val="093F3946"/>
    <w:rsid w:val="09421464"/>
    <w:rsid w:val="095119DE"/>
    <w:rsid w:val="09655406"/>
    <w:rsid w:val="096609C1"/>
    <w:rsid w:val="096B25CA"/>
    <w:rsid w:val="096D3FA9"/>
    <w:rsid w:val="096E3D2A"/>
    <w:rsid w:val="0979611C"/>
    <w:rsid w:val="0991224B"/>
    <w:rsid w:val="099B58EA"/>
    <w:rsid w:val="099F6A1E"/>
    <w:rsid w:val="09CA3BF1"/>
    <w:rsid w:val="09CD0E02"/>
    <w:rsid w:val="09D945D7"/>
    <w:rsid w:val="09E02087"/>
    <w:rsid w:val="09ED6786"/>
    <w:rsid w:val="09F6376A"/>
    <w:rsid w:val="0A0776CE"/>
    <w:rsid w:val="0A0E609F"/>
    <w:rsid w:val="0A135193"/>
    <w:rsid w:val="0A157CFC"/>
    <w:rsid w:val="0A2A5DE0"/>
    <w:rsid w:val="0A4C565C"/>
    <w:rsid w:val="0A5D7331"/>
    <w:rsid w:val="0A6C4373"/>
    <w:rsid w:val="0A765B21"/>
    <w:rsid w:val="0A811C5D"/>
    <w:rsid w:val="0A9217AA"/>
    <w:rsid w:val="0A987CA5"/>
    <w:rsid w:val="0A990885"/>
    <w:rsid w:val="0A9961A4"/>
    <w:rsid w:val="0A9D3164"/>
    <w:rsid w:val="0AE1652C"/>
    <w:rsid w:val="0AE97B5C"/>
    <w:rsid w:val="0AED7AB5"/>
    <w:rsid w:val="0AEE279D"/>
    <w:rsid w:val="0AF75A49"/>
    <w:rsid w:val="0AFD61F4"/>
    <w:rsid w:val="0AFE38F2"/>
    <w:rsid w:val="0B061B32"/>
    <w:rsid w:val="0B2E6C79"/>
    <w:rsid w:val="0B423CCF"/>
    <w:rsid w:val="0B6555D7"/>
    <w:rsid w:val="0B6C04CF"/>
    <w:rsid w:val="0B725A18"/>
    <w:rsid w:val="0B845A0E"/>
    <w:rsid w:val="0B8834EA"/>
    <w:rsid w:val="0B8C4DB6"/>
    <w:rsid w:val="0B8C71C1"/>
    <w:rsid w:val="0B903C80"/>
    <w:rsid w:val="0B9A75A5"/>
    <w:rsid w:val="0BB05D2B"/>
    <w:rsid w:val="0BB5010C"/>
    <w:rsid w:val="0BC8134C"/>
    <w:rsid w:val="0BD66543"/>
    <w:rsid w:val="0BE23F5D"/>
    <w:rsid w:val="0BEA4EFB"/>
    <w:rsid w:val="0BFD6E73"/>
    <w:rsid w:val="0C031D10"/>
    <w:rsid w:val="0C106233"/>
    <w:rsid w:val="0C274213"/>
    <w:rsid w:val="0C3C2558"/>
    <w:rsid w:val="0C42768E"/>
    <w:rsid w:val="0C7A18C8"/>
    <w:rsid w:val="0C8073B1"/>
    <w:rsid w:val="0C905014"/>
    <w:rsid w:val="0C9666CD"/>
    <w:rsid w:val="0CA5371A"/>
    <w:rsid w:val="0CA56D44"/>
    <w:rsid w:val="0CAB7517"/>
    <w:rsid w:val="0CAE1299"/>
    <w:rsid w:val="0CB71E72"/>
    <w:rsid w:val="0CD31876"/>
    <w:rsid w:val="0CFA056F"/>
    <w:rsid w:val="0CFF5C4B"/>
    <w:rsid w:val="0D0B2BB5"/>
    <w:rsid w:val="0D0B5B12"/>
    <w:rsid w:val="0D273F08"/>
    <w:rsid w:val="0D312C67"/>
    <w:rsid w:val="0D397094"/>
    <w:rsid w:val="0D5400CE"/>
    <w:rsid w:val="0D652990"/>
    <w:rsid w:val="0D6608E9"/>
    <w:rsid w:val="0D7F5479"/>
    <w:rsid w:val="0D8F2597"/>
    <w:rsid w:val="0DAF3A0A"/>
    <w:rsid w:val="0DB63402"/>
    <w:rsid w:val="0DD1193E"/>
    <w:rsid w:val="0DD3176D"/>
    <w:rsid w:val="0DF7362D"/>
    <w:rsid w:val="0DF74D5C"/>
    <w:rsid w:val="0DFE32C0"/>
    <w:rsid w:val="0E105C88"/>
    <w:rsid w:val="0E3474D0"/>
    <w:rsid w:val="0E353EA5"/>
    <w:rsid w:val="0E386DC4"/>
    <w:rsid w:val="0E387F05"/>
    <w:rsid w:val="0E3C1226"/>
    <w:rsid w:val="0E6059EA"/>
    <w:rsid w:val="0E6B0100"/>
    <w:rsid w:val="0E957698"/>
    <w:rsid w:val="0E9C7244"/>
    <w:rsid w:val="0EB74659"/>
    <w:rsid w:val="0EC65947"/>
    <w:rsid w:val="0EE21F92"/>
    <w:rsid w:val="0EF052EC"/>
    <w:rsid w:val="0EF17FB0"/>
    <w:rsid w:val="0F276337"/>
    <w:rsid w:val="0F2F44D5"/>
    <w:rsid w:val="0F504BA9"/>
    <w:rsid w:val="0F66063A"/>
    <w:rsid w:val="0F7826EB"/>
    <w:rsid w:val="0F7C4476"/>
    <w:rsid w:val="0FAF361F"/>
    <w:rsid w:val="0FBA227E"/>
    <w:rsid w:val="0FCC0632"/>
    <w:rsid w:val="0FD57C5F"/>
    <w:rsid w:val="0FE46030"/>
    <w:rsid w:val="0FE57B27"/>
    <w:rsid w:val="0FFF1008"/>
    <w:rsid w:val="10050286"/>
    <w:rsid w:val="10172695"/>
    <w:rsid w:val="10210EF4"/>
    <w:rsid w:val="10335EEA"/>
    <w:rsid w:val="10386ED2"/>
    <w:rsid w:val="103F7288"/>
    <w:rsid w:val="103F7DAB"/>
    <w:rsid w:val="104A06D2"/>
    <w:rsid w:val="10547DC7"/>
    <w:rsid w:val="10554888"/>
    <w:rsid w:val="10586787"/>
    <w:rsid w:val="105A58DC"/>
    <w:rsid w:val="106520B3"/>
    <w:rsid w:val="10717D25"/>
    <w:rsid w:val="10927FDE"/>
    <w:rsid w:val="10B832F3"/>
    <w:rsid w:val="10B86009"/>
    <w:rsid w:val="10C624B2"/>
    <w:rsid w:val="10C752F8"/>
    <w:rsid w:val="10C756D2"/>
    <w:rsid w:val="10CA5EEA"/>
    <w:rsid w:val="10E01028"/>
    <w:rsid w:val="10F83820"/>
    <w:rsid w:val="10FB5961"/>
    <w:rsid w:val="10FD60AA"/>
    <w:rsid w:val="1102251D"/>
    <w:rsid w:val="11241FC8"/>
    <w:rsid w:val="114230F0"/>
    <w:rsid w:val="114338FE"/>
    <w:rsid w:val="11453EE5"/>
    <w:rsid w:val="1148382B"/>
    <w:rsid w:val="1163690F"/>
    <w:rsid w:val="116A782E"/>
    <w:rsid w:val="116C4DF9"/>
    <w:rsid w:val="1175277B"/>
    <w:rsid w:val="1195224E"/>
    <w:rsid w:val="11A443DC"/>
    <w:rsid w:val="11CA075A"/>
    <w:rsid w:val="11CC4771"/>
    <w:rsid w:val="11CD3FC1"/>
    <w:rsid w:val="11D542B0"/>
    <w:rsid w:val="11DD6D5B"/>
    <w:rsid w:val="11F47704"/>
    <w:rsid w:val="11F52942"/>
    <w:rsid w:val="11F711B5"/>
    <w:rsid w:val="120657BA"/>
    <w:rsid w:val="1208510D"/>
    <w:rsid w:val="120E088A"/>
    <w:rsid w:val="1232269C"/>
    <w:rsid w:val="12666CA4"/>
    <w:rsid w:val="128019F0"/>
    <w:rsid w:val="128A45A1"/>
    <w:rsid w:val="12971B3E"/>
    <w:rsid w:val="129A75B2"/>
    <w:rsid w:val="129B5DA8"/>
    <w:rsid w:val="129D7DB7"/>
    <w:rsid w:val="12B45C43"/>
    <w:rsid w:val="12DD4935"/>
    <w:rsid w:val="12DF3488"/>
    <w:rsid w:val="12E82452"/>
    <w:rsid w:val="12F6411C"/>
    <w:rsid w:val="130E4A49"/>
    <w:rsid w:val="131B24AB"/>
    <w:rsid w:val="13361513"/>
    <w:rsid w:val="13491C46"/>
    <w:rsid w:val="1362170F"/>
    <w:rsid w:val="139A5C25"/>
    <w:rsid w:val="139C7702"/>
    <w:rsid w:val="13A3229C"/>
    <w:rsid w:val="13BA7A98"/>
    <w:rsid w:val="13D93E9A"/>
    <w:rsid w:val="13D97F24"/>
    <w:rsid w:val="13FA5F03"/>
    <w:rsid w:val="13FA7F32"/>
    <w:rsid w:val="13FC4789"/>
    <w:rsid w:val="140A25F2"/>
    <w:rsid w:val="1413010B"/>
    <w:rsid w:val="14210DED"/>
    <w:rsid w:val="142A4C5A"/>
    <w:rsid w:val="143619A2"/>
    <w:rsid w:val="1436726B"/>
    <w:rsid w:val="14495172"/>
    <w:rsid w:val="146B031C"/>
    <w:rsid w:val="1496709C"/>
    <w:rsid w:val="14A51277"/>
    <w:rsid w:val="14AD76B0"/>
    <w:rsid w:val="14DB3540"/>
    <w:rsid w:val="14DB5CDA"/>
    <w:rsid w:val="14E31FE0"/>
    <w:rsid w:val="14ED3FAF"/>
    <w:rsid w:val="14F9704F"/>
    <w:rsid w:val="150240A4"/>
    <w:rsid w:val="15056E27"/>
    <w:rsid w:val="150A0676"/>
    <w:rsid w:val="150F1F18"/>
    <w:rsid w:val="15245133"/>
    <w:rsid w:val="1534106B"/>
    <w:rsid w:val="153647D3"/>
    <w:rsid w:val="15500FBC"/>
    <w:rsid w:val="15623E90"/>
    <w:rsid w:val="156545AD"/>
    <w:rsid w:val="15702D30"/>
    <w:rsid w:val="1586482F"/>
    <w:rsid w:val="158D38C0"/>
    <w:rsid w:val="15977BF7"/>
    <w:rsid w:val="159F7282"/>
    <w:rsid w:val="15C076FD"/>
    <w:rsid w:val="16055FED"/>
    <w:rsid w:val="160C1B24"/>
    <w:rsid w:val="16325AFD"/>
    <w:rsid w:val="16362679"/>
    <w:rsid w:val="163A05ED"/>
    <w:rsid w:val="16441479"/>
    <w:rsid w:val="164B0A04"/>
    <w:rsid w:val="166337A7"/>
    <w:rsid w:val="166E1A02"/>
    <w:rsid w:val="16751CB7"/>
    <w:rsid w:val="16A051CB"/>
    <w:rsid w:val="16A138D9"/>
    <w:rsid w:val="16BC6192"/>
    <w:rsid w:val="16C52067"/>
    <w:rsid w:val="16EF2E6A"/>
    <w:rsid w:val="16EF3FF9"/>
    <w:rsid w:val="16F84229"/>
    <w:rsid w:val="17194FCB"/>
    <w:rsid w:val="172803CD"/>
    <w:rsid w:val="17292AAA"/>
    <w:rsid w:val="17314C61"/>
    <w:rsid w:val="17424F6C"/>
    <w:rsid w:val="17455286"/>
    <w:rsid w:val="17561E9D"/>
    <w:rsid w:val="17624539"/>
    <w:rsid w:val="1763471E"/>
    <w:rsid w:val="1767136F"/>
    <w:rsid w:val="17677576"/>
    <w:rsid w:val="17690B02"/>
    <w:rsid w:val="177D4CEE"/>
    <w:rsid w:val="178320DD"/>
    <w:rsid w:val="178716BB"/>
    <w:rsid w:val="178953A3"/>
    <w:rsid w:val="178962F8"/>
    <w:rsid w:val="178E7A6B"/>
    <w:rsid w:val="179B2FCB"/>
    <w:rsid w:val="179F2193"/>
    <w:rsid w:val="17D14094"/>
    <w:rsid w:val="17DB3538"/>
    <w:rsid w:val="17EE5349"/>
    <w:rsid w:val="17EF26D9"/>
    <w:rsid w:val="180678FC"/>
    <w:rsid w:val="18096E07"/>
    <w:rsid w:val="180C5001"/>
    <w:rsid w:val="180F3BB7"/>
    <w:rsid w:val="18193258"/>
    <w:rsid w:val="18283FAD"/>
    <w:rsid w:val="18320E66"/>
    <w:rsid w:val="18402B89"/>
    <w:rsid w:val="18461A20"/>
    <w:rsid w:val="184771B7"/>
    <w:rsid w:val="184A3DB7"/>
    <w:rsid w:val="18654508"/>
    <w:rsid w:val="186C3507"/>
    <w:rsid w:val="187752F6"/>
    <w:rsid w:val="188A6498"/>
    <w:rsid w:val="1897138E"/>
    <w:rsid w:val="18A23464"/>
    <w:rsid w:val="18E303C1"/>
    <w:rsid w:val="19063DF2"/>
    <w:rsid w:val="1907008F"/>
    <w:rsid w:val="190A1374"/>
    <w:rsid w:val="191323EB"/>
    <w:rsid w:val="191B5AC4"/>
    <w:rsid w:val="19234499"/>
    <w:rsid w:val="19297131"/>
    <w:rsid w:val="19310424"/>
    <w:rsid w:val="193F0C5B"/>
    <w:rsid w:val="19444485"/>
    <w:rsid w:val="195D7289"/>
    <w:rsid w:val="195E16BF"/>
    <w:rsid w:val="19613157"/>
    <w:rsid w:val="19854C24"/>
    <w:rsid w:val="198B20E9"/>
    <w:rsid w:val="199831AA"/>
    <w:rsid w:val="19A8039D"/>
    <w:rsid w:val="19DA0569"/>
    <w:rsid w:val="19DF3AD3"/>
    <w:rsid w:val="19E267AD"/>
    <w:rsid w:val="19E86A21"/>
    <w:rsid w:val="1A0501EA"/>
    <w:rsid w:val="1A1900DD"/>
    <w:rsid w:val="1A3F114B"/>
    <w:rsid w:val="1A5E5212"/>
    <w:rsid w:val="1A625171"/>
    <w:rsid w:val="1A654BFB"/>
    <w:rsid w:val="1A6965F2"/>
    <w:rsid w:val="1A6E6231"/>
    <w:rsid w:val="1A800AE4"/>
    <w:rsid w:val="1A942994"/>
    <w:rsid w:val="1A976AE8"/>
    <w:rsid w:val="1AA839F8"/>
    <w:rsid w:val="1AAA06A4"/>
    <w:rsid w:val="1AB0186D"/>
    <w:rsid w:val="1AB5403C"/>
    <w:rsid w:val="1ADB2045"/>
    <w:rsid w:val="1AE346F1"/>
    <w:rsid w:val="1AEC03A8"/>
    <w:rsid w:val="1AF52B5D"/>
    <w:rsid w:val="1AFB2A28"/>
    <w:rsid w:val="1B1A1FB9"/>
    <w:rsid w:val="1B1F0B9B"/>
    <w:rsid w:val="1B2852C8"/>
    <w:rsid w:val="1B2C00EA"/>
    <w:rsid w:val="1B2D30F7"/>
    <w:rsid w:val="1B2E66A9"/>
    <w:rsid w:val="1B2F56FF"/>
    <w:rsid w:val="1B304E3C"/>
    <w:rsid w:val="1B446983"/>
    <w:rsid w:val="1B583708"/>
    <w:rsid w:val="1B605CD0"/>
    <w:rsid w:val="1B6147DF"/>
    <w:rsid w:val="1B950636"/>
    <w:rsid w:val="1BB3147E"/>
    <w:rsid w:val="1BD5003A"/>
    <w:rsid w:val="1BD803CD"/>
    <w:rsid w:val="1BE3130B"/>
    <w:rsid w:val="1BE3325A"/>
    <w:rsid w:val="1BE66ABB"/>
    <w:rsid w:val="1BEF036A"/>
    <w:rsid w:val="1BFB31F6"/>
    <w:rsid w:val="1C043517"/>
    <w:rsid w:val="1C246068"/>
    <w:rsid w:val="1C387FA6"/>
    <w:rsid w:val="1C3F01BA"/>
    <w:rsid w:val="1C3F7D99"/>
    <w:rsid w:val="1C5711C1"/>
    <w:rsid w:val="1C61206C"/>
    <w:rsid w:val="1C6419A6"/>
    <w:rsid w:val="1C715614"/>
    <w:rsid w:val="1C9A74AF"/>
    <w:rsid w:val="1CA05F8F"/>
    <w:rsid w:val="1CB33A9E"/>
    <w:rsid w:val="1CB53E36"/>
    <w:rsid w:val="1CCB7F6A"/>
    <w:rsid w:val="1CCC5345"/>
    <w:rsid w:val="1CEC5D56"/>
    <w:rsid w:val="1CF778B9"/>
    <w:rsid w:val="1CFB73AD"/>
    <w:rsid w:val="1D0D0487"/>
    <w:rsid w:val="1D1476BF"/>
    <w:rsid w:val="1D1F1E63"/>
    <w:rsid w:val="1D40389E"/>
    <w:rsid w:val="1D464AA5"/>
    <w:rsid w:val="1D646B79"/>
    <w:rsid w:val="1D6A50FA"/>
    <w:rsid w:val="1D704F85"/>
    <w:rsid w:val="1D8009AC"/>
    <w:rsid w:val="1DAE5A26"/>
    <w:rsid w:val="1DB52500"/>
    <w:rsid w:val="1DC530E1"/>
    <w:rsid w:val="1DC97174"/>
    <w:rsid w:val="1DD2031E"/>
    <w:rsid w:val="1DD6033B"/>
    <w:rsid w:val="1DFF58F9"/>
    <w:rsid w:val="1E1E0870"/>
    <w:rsid w:val="1E34479D"/>
    <w:rsid w:val="1E3A2D69"/>
    <w:rsid w:val="1E3E4E81"/>
    <w:rsid w:val="1E472902"/>
    <w:rsid w:val="1E47379A"/>
    <w:rsid w:val="1E745A9C"/>
    <w:rsid w:val="1E900B19"/>
    <w:rsid w:val="1EA34062"/>
    <w:rsid w:val="1EAB6A82"/>
    <w:rsid w:val="1EB0559A"/>
    <w:rsid w:val="1EB20D53"/>
    <w:rsid w:val="1EC13BFD"/>
    <w:rsid w:val="1EEF1FD0"/>
    <w:rsid w:val="1EFA3152"/>
    <w:rsid w:val="1EFF69E3"/>
    <w:rsid w:val="1F2902C6"/>
    <w:rsid w:val="1F39209A"/>
    <w:rsid w:val="1F417171"/>
    <w:rsid w:val="1F4C6D6C"/>
    <w:rsid w:val="1F5A66B2"/>
    <w:rsid w:val="1F6C61F3"/>
    <w:rsid w:val="1F70525A"/>
    <w:rsid w:val="1F8C79CB"/>
    <w:rsid w:val="1F8F11A7"/>
    <w:rsid w:val="1F9413CF"/>
    <w:rsid w:val="1F9644E6"/>
    <w:rsid w:val="1F9C3056"/>
    <w:rsid w:val="1F9E4597"/>
    <w:rsid w:val="1FB74768"/>
    <w:rsid w:val="1FC76F05"/>
    <w:rsid w:val="1FF94ABB"/>
    <w:rsid w:val="200E0177"/>
    <w:rsid w:val="20195EC6"/>
    <w:rsid w:val="2034549C"/>
    <w:rsid w:val="203D0DCA"/>
    <w:rsid w:val="20407EFE"/>
    <w:rsid w:val="20442F88"/>
    <w:rsid w:val="204F3AF7"/>
    <w:rsid w:val="205A26C7"/>
    <w:rsid w:val="205B38E9"/>
    <w:rsid w:val="20617EFF"/>
    <w:rsid w:val="206B2647"/>
    <w:rsid w:val="207A2413"/>
    <w:rsid w:val="20840B78"/>
    <w:rsid w:val="20AC5206"/>
    <w:rsid w:val="20AE7E89"/>
    <w:rsid w:val="20AF6DB1"/>
    <w:rsid w:val="20B413FB"/>
    <w:rsid w:val="20C33AF1"/>
    <w:rsid w:val="20C96E65"/>
    <w:rsid w:val="20D97796"/>
    <w:rsid w:val="20E64283"/>
    <w:rsid w:val="210155DA"/>
    <w:rsid w:val="210650E6"/>
    <w:rsid w:val="210A1A3E"/>
    <w:rsid w:val="210E0F8C"/>
    <w:rsid w:val="21153280"/>
    <w:rsid w:val="21280F91"/>
    <w:rsid w:val="21291E8A"/>
    <w:rsid w:val="212B6674"/>
    <w:rsid w:val="21365C9E"/>
    <w:rsid w:val="214A30DB"/>
    <w:rsid w:val="215C6564"/>
    <w:rsid w:val="21674F32"/>
    <w:rsid w:val="21691396"/>
    <w:rsid w:val="216B3E38"/>
    <w:rsid w:val="216E5369"/>
    <w:rsid w:val="2176477F"/>
    <w:rsid w:val="2177628D"/>
    <w:rsid w:val="217960DD"/>
    <w:rsid w:val="219E7862"/>
    <w:rsid w:val="21A75A8D"/>
    <w:rsid w:val="21A92102"/>
    <w:rsid w:val="21B57A09"/>
    <w:rsid w:val="21BE0F4D"/>
    <w:rsid w:val="21C0196E"/>
    <w:rsid w:val="21C87F2B"/>
    <w:rsid w:val="21CC78F5"/>
    <w:rsid w:val="21DB3050"/>
    <w:rsid w:val="21EB0D72"/>
    <w:rsid w:val="21EC5039"/>
    <w:rsid w:val="21ED7932"/>
    <w:rsid w:val="22070412"/>
    <w:rsid w:val="22123047"/>
    <w:rsid w:val="221E5BC0"/>
    <w:rsid w:val="22310835"/>
    <w:rsid w:val="224F76EF"/>
    <w:rsid w:val="22991294"/>
    <w:rsid w:val="229B50A3"/>
    <w:rsid w:val="229E6D05"/>
    <w:rsid w:val="22AD7B1E"/>
    <w:rsid w:val="22BC0B4B"/>
    <w:rsid w:val="22BE5553"/>
    <w:rsid w:val="22CF7B20"/>
    <w:rsid w:val="22D528A7"/>
    <w:rsid w:val="22E4061B"/>
    <w:rsid w:val="22E744D4"/>
    <w:rsid w:val="2335124E"/>
    <w:rsid w:val="23366C44"/>
    <w:rsid w:val="233735BD"/>
    <w:rsid w:val="2340254E"/>
    <w:rsid w:val="23473E99"/>
    <w:rsid w:val="235322AF"/>
    <w:rsid w:val="23574634"/>
    <w:rsid w:val="23586D66"/>
    <w:rsid w:val="237201D5"/>
    <w:rsid w:val="23822FD1"/>
    <w:rsid w:val="23840E8B"/>
    <w:rsid w:val="23942659"/>
    <w:rsid w:val="239E50D3"/>
    <w:rsid w:val="239F6AC0"/>
    <w:rsid w:val="23B44839"/>
    <w:rsid w:val="23DF2E22"/>
    <w:rsid w:val="23E33D67"/>
    <w:rsid w:val="23F2072A"/>
    <w:rsid w:val="2414279E"/>
    <w:rsid w:val="242D23BA"/>
    <w:rsid w:val="243A777B"/>
    <w:rsid w:val="24431E78"/>
    <w:rsid w:val="2444347A"/>
    <w:rsid w:val="244A56C9"/>
    <w:rsid w:val="24514B9F"/>
    <w:rsid w:val="249935AC"/>
    <w:rsid w:val="249B4523"/>
    <w:rsid w:val="24B6344C"/>
    <w:rsid w:val="24C8073C"/>
    <w:rsid w:val="24DE6F2F"/>
    <w:rsid w:val="24EE7D9B"/>
    <w:rsid w:val="24F03950"/>
    <w:rsid w:val="24F355A4"/>
    <w:rsid w:val="250C6CC0"/>
    <w:rsid w:val="250E7438"/>
    <w:rsid w:val="25300B8F"/>
    <w:rsid w:val="255947CB"/>
    <w:rsid w:val="255958A2"/>
    <w:rsid w:val="255E13AB"/>
    <w:rsid w:val="25641E0C"/>
    <w:rsid w:val="256E2B7D"/>
    <w:rsid w:val="257E6526"/>
    <w:rsid w:val="25877D5F"/>
    <w:rsid w:val="259103CD"/>
    <w:rsid w:val="25A23C7A"/>
    <w:rsid w:val="25BB7D6B"/>
    <w:rsid w:val="25C86F33"/>
    <w:rsid w:val="25E35525"/>
    <w:rsid w:val="25E77365"/>
    <w:rsid w:val="25E81024"/>
    <w:rsid w:val="25EC7BD0"/>
    <w:rsid w:val="25FD4827"/>
    <w:rsid w:val="26024DD2"/>
    <w:rsid w:val="263C68E5"/>
    <w:rsid w:val="265401D6"/>
    <w:rsid w:val="26634CD4"/>
    <w:rsid w:val="267432FC"/>
    <w:rsid w:val="26773E0B"/>
    <w:rsid w:val="26786585"/>
    <w:rsid w:val="267F3A9A"/>
    <w:rsid w:val="269B7C3D"/>
    <w:rsid w:val="26B31D39"/>
    <w:rsid w:val="26DF0D1A"/>
    <w:rsid w:val="270D6C9D"/>
    <w:rsid w:val="2714767F"/>
    <w:rsid w:val="271D138F"/>
    <w:rsid w:val="27265FA5"/>
    <w:rsid w:val="27392B06"/>
    <w:rsid w:val="273E22EF"/>
    <w:rsid w:val="274A687E"/>
    <w:rsid w:val="277262A7"/>
    <w:rsid w:val="27770DBB"/>
    <w:rsid w:val="277A189C"/>
    <w:rsid w:val="277D53E0"/>
    <w:rsid w:val="27816F3A"/>
    <w:rsid w:val="27AB3D22"/>
    <w:rsid w:val="27E10008"/>
    <w:rsid w:val="27E14B9F"/>
    <w:rsid w:val="27F13C64"/>
    <w:rsid w:val="27F2391E"/>
    <w:rsid w:val="28010DD1"/>
    <w:rsid w:val="281155FC"/>
    <w:rsid w:val="28207865"/>
    <w:rsid w:val="282A06F3"/>
    <w:rsid w:val="282B1B3F"/>
    <w:rsid w:val="283033AD"/>
    <w:rsid w:val="283369BF"/>
    <w:rsid w:val="283404C2"/>
    <w:rsid w:val="28384A0E"/>
    <w:rsid w:val="2846393C"/>
    <w:rsid w:val="285A7096"/>
    <w:rsid w:val="28684F81"/>
    <w:rsid w:val="287C2828"/>
    <w:rsid w:val="287D441E"/>
    <w:rsid w:val="28814903"/>
    <w:rsid w:val="28912560"/>
    <w:rsid w:val="28934BAD"/>
    <w:rsid w:val="289A3C31"/>
    <w:rsid w:val="28A316DA"/>
    <w:rsid w:val="28AA125E"/>
    <w:rsid w:val="28C0576B"/>
    <w:rsid w:val="28C309F7"/>
    <w:rsid w:val="28CB22B2"/>
    <w:rsid w:val="28D07839"/>
    <w:rsid w:val="28D73C5E"/>
    <w:rsid w:val="28E228D4"/>
    <w:rsid w:val="29026298"/>
    <w:rsid w:val="29243703"/>
    <w:rsid w:val="29266F18"/>
    <w:rsid w:val="29325D7D"/>
    <w:rsid w:val="2945328E"/>
    <w:rsid w:val="29513233"/>
    <w:rsid w:val="29952C9A"/>
    <w:rsid w:val="299954F3"/>
    <w:rsid w:val="29A516FB"/>
    <w:rsid w:val="29A61A36"/>
    <w:rsid w:val="29AC1DB5"/>
    <w:rsid w:val="29B90BE9"/>
    <w:rsid w:val="29BA55E1"/>
    <w:rsid w:val="29BD47AD"/>
    <w:rsid w:val="29C21AFA"/>
    <w:rsid w:val="29D570B4"/>
    <w:rsid w:val="29DB0EFF"/>
    <w:rsid w:val="29DD5B9F"/>
    <w:rsid w:val="29DD6AED"/>
    <w:rsid w:val="2A0016FD"/>
    <w:rsid w:val="2A005B95"/>
    <w:rsid w:val="2A032E09"/>
    <w:rsid w:val="2A0353D6"/>
    <w:rsid w:val="2A21762C"/>
    <w:rsid w:val="2A230958"/>
    <w:rsid w:val="2A2C077F"/>
    <w:rsid w:val="2A2F1021"/>
    <w:rsid w:val="2A387ED7"/>
    <w:rsid w:val="2A523052"/>
    <w:rsid w:val="2A621DD6"/>
    <w:rsid w:val="2A672A61"/>
    <w:rsid w:val="2A6A576A"/>
    <w:rsid w:val="2A8C1D64"/>
    <w:rsid w:val="2A8C5E46"/>
    <w:rsid w:val="2AAD088E"/>
    <w:rsid w:val="2ABC5402"/>
    <w:rsid w:val="2AE27121"/>
    <w:rsid w:val="2B1631C4"/>
    <w:rsid w:val="2B251FC8"/>
    <w:rsid w:val="2B3169B2"/>
    <w:rsid w:val="2B4C4C9F"/>
    <w:rsid w:val="2B511C14"/>
    <w:rsid w:val="2B56075C"/>
    <w:rsid w:val="2B771E2D"/>
    <w:rsid w:val="2B876E12"/>
    <w:rsid w:val="2B880649"/>
    <w:rsid w:val="2B8873F6"/>
    <w:rsid w:val="2B92006D"/>
    <w:rsid w:val="2B921845"/>
    <w:rsid w:val="2BB469E7"/>
    <w:rsid w:val="2BB6546A"/>
    <w:rsid w:val="2BBA7439"/>
    <w:rsid w:val="2BC42981"/>
    <w:rsid w:val="2BCD7E75"/>
    <w:rsid w:val="2BDE3F9A"/>
    <w:rsid w:val="2BE92FC0"/>
    <w:rsid w:val="2BED3E0A"/>
    <w:rsid w:val="2BFB4B1A"/>
    <w:rsid w:val="2C045E13"/>
    <w:rsid w:val="2C0713F8"/>
    <w:rsid w:val="2C0E7AA0"/>
    <w:rsid w:val="2C111FBF"/>
    <w:rsid w:val="2C1B1B06"/>
    <w:rsid w:val="2C1C7BDC"/>
    <w:rsid w:val="2C204D0F"/>
    <w:rsid w:val="2C2F73A0"/>
    <w:rsid w:val="2C302572"/>
    <w:rsid w:val="2C35180D"/>
    <w:rsid w:val="2C354934"/>
    <w:rsid w:val="2C58750D"/>
    <w:rsid w:val="2C5B1815"/>
    <w:rsid w:val="2C6D12D6"/>
    <w:rsid w:val="2C6F669A"/>
    <w:rsid w:val="2C7072E8"/>
    <w:rsid w:val="2C7D024F"/>
    <w:rsid w:val="2C7F5247"/>
    <w:rsid w:val="2C821777"/>
    <w:rsid w:val="2C8F3212"/>
    <w:rsid w:val="2C924155"/>
    <w:rsid w:val="2CB81839"/>
    <w:rsid w:val="2CBF5BCF"/>
    <w:rsid w:val="2CC24F0F"/>
    <w:rsid w:val="2CDD4B48"/>
    <w:rsid w:val="2CE16777"/>
    <w:rsid w:val="2D150AE6"/>
    <w:rsid w:val="2D1A09C8"/>
    <w:rsid w:val="2D2A56E9"/>
    <w:rsid w:val="2D2D7F5D"/>
    <w:rsid w:val="2D5A5B80"/>
    <w:rsid w:val="2D830087"/>
    <w:rsid w:val="2D87701D"/>
    <w:rsid w:val="2D8C1F5D"/>
    <w:rsid w:val="2D941F43"/>
    <w:rsid w:val="2D99357E"/>
    <w:rsid w:val="2DB6665D"/>
    <w:rsid w:val="2DBC3F4D"/>
    <w:rsid w:val="2DC31519"/>
    <w:rsid w:val="2DD17C2F"/>
    <w:rsid w:val="2DD847AB"/>
    <w:rsid w:val="2DFD48E4"/>
    <w:rsid w:val="2E0D1289"/>
    <w:rsid w:val="2E2A5EB6"/>
    <w:rsid w:val="2E2C66E7"/>
    <w:rsid w:val="2E357220"/>
    <w:rsid w:val="2E5C0F84"/>
    <w:rsid w:val="2E5D7EF7"/>
    <w:rsid w:val="2E6479E7"/>
    <w:rsid w:val="2E664694"/>
    <w:rsid w:val="2E6A15DA"/>
    <w:rsid w:val="2E712EB7"/>
    <w:rsid w:val="2E750FDB"/>
    <w:rsid w:val="2E800616"/>
    <w:rsid w:val="2E863915"/>
    <w:rsid w:val="2E991BB3"/>
    <w:rsid w:val="2EBE0AB2"/>
    <w:rsid w:val="2ECD13BA"/>
    <w:rsid w:val="2ED1733A"/>
    <w:rsid w:val="2ED74B5A"/>
    <w:rsid w:val="2EDE5ED8"/>
    <w:rsid w:val="2EFA7629"/>
    <w:rsid w:val="2EFB78AA"/>
    <w:rsid w:val="2EFE42CE"/>
    <w:rsid w:val="2F0A3C81"/>
    <w:rsid w:val="2F0D3106"/>
    <w:rsid w:val="2F357714"/>
    <w:rsid w:val="2F565081"/>
    <w:rsid w:val="2F764190"/>
    <w:rsid w:val="2F7D75B8"/>
    <w:rsid w:val="2F930269"/>
    <w:rsid w:val="2FA11264"/>
    <w:rsid w:val="2FA1542A"/>
    <w:rsid w:val="2FBB4219"/>
    <w:rsid w:val="2FBF25A2"/>
    <w:rsid w:val="2FE547A2"/>
    <w:rsid w:val="2FEE74FF"/>
    <w:rsid w:val="300D4A89"/>
    <w:rsid w:val="301B037D"/>
    <w:rsid w:val="30236175"/>
    <w:rsid w:val="30297ECF"/>
    <w:rsid w:val="304F3534"/>
    <w:rsid w:val="30563854"/>
    <w:rsid w:val="307E2987"/>
    <w:rsid w:val="308178AB"/>
    <w:rsid w:val="308A0072"/>
    <w:rsid w:val="309B4627"/>
    <w:rsid w:val="30A47100"/>
    <w:rsid w:val="30AF70DA"/>
    <w:rsid w:val="30BF666B"/>
    <w:rsid w:val="30C44D39"/>
    <w:rsid w:val="30FA280C"/>
    <w:rsid w:val="310D040D"/>
    <w:rsid w:val="3112214C"/>
    <w:rsid w:val="314024AE"/>
    <w:rsid w:val="31522D64"/>
    <w:rsid w:val="31965EE6"/>
    <w:rsid w:val="31A04AD8"/>
    <w:rsid w:val="31A9779C"/>
    <w:rsid w:val="31AC6F71"/>
    <w:rsid w:val="31C337F8"/>
    <w:rsid w:val="31C43BE1"/>
    <w:rsid w:val="31DC4D2A"/>
    <w:rsid w:val="31DD79DF"/>
    <w:rsid w:val="31E52456"/>
    <w:rsid w:val="31F2687B"/>
    <w:rsid w:val="31FA50C5"/>
    <w:rsid w:val="320F30FF"/>
    <w:rsid w:val="320F4D2D"/>
    <w:rsid w:val="324E1C48"/>
    <w:rsid w:val="32534556"/>
    <w:rsid w:val="326C0551"/>
    <w:rsid w:val="32926A34"/>
    <w:rsid w:val="32AC704F"/>
    <w:rsid w:val="32B005FA"/>
    <w:rsid w:val="32B225CD"/>
    <w:rsid w:val="32BB23EC"/>
    <w:rsid w:val="32BF6E80"/>
    <w:rsid w:val="32CF168B"/>
    <w:rsid w:val="32D33715"/>
    <w:rsid w:val="32DC0205"/>
    <w:rsid w:val="32E93A78"/>
    <w:rsid w:val="32F22281"/>
    <w:rsid w:val="32F67720"/>
    <w:rsid w:val="33010C9A"/>
    <w:rsid w:val="33117F85"/>
    <w:rsid w:val="331C089C"/>
    <w:rsid w:val="332B34B1"/>
    <w:rsid w:val="333522BB"/>
    <w:rsid w:val="33615E2F"/>
    <w:rsid w:val="336222E0"/>
    <w:rsid w:val="33734152"/>
    <w:rsid w:val="337C6572"/>
    <w:rsid w:val="337D0113"/>
    <w:rsid w:val="338D18EE"/>
    <w:rsid w:val="33996810"/>
    <w:rsid w:val="339A3FA6"/>
    <w:rsid w:val="339C34A3"/>
    <w:rsid w:val="33A6137E"/>
    <w:rsid w:val="33A70B8B"/>
    <w:rsid w:val="33B81916"/>
    <w:rsid w:val="33CA5E43"/>
    <w:rsid w:val="33EA1CA0"/>
    <w:rsid w:val="33EC56D6"/>
    <w:rsid w:val="33FA6B45"/>
    <w:rsid w:val="3403113A"/>
    <w:rsid w:val="34160B3E"/>
    <w:rsid w:val="341864C1"/>
    <w:rsid w:val="341B621F"/>
    <w:rsid w:val="343155C0"/>
    <w:rsid w:val="34343E42"/>
    <w:rsid w:val="343D0BC3"/>
    <w:rsid w:val="3454457E"/>
    <w:rsid w:val="346753B8"/>
    <w:rsid w:val="3483581B"/>
    <w:rsid w:val="349A6A9A"/>
    <w:rsid w:val="349A744F"/>
    <w:rsid w:val="34A56DDA"/>
    <w:rsid w:val="34B73E0A"/>
    <w:rsid w:val="34E02D12"/>
    <w:rsid w:val="34FA2057"/>
    <w:rsid w:val="350763F0"/>
    <w:rsid w:val="351C1112"/>
    <w:rsid w:val="352B4B1C"/>
    <w:rsid w:val="354F1D05"/>
    <w:rsid w:val="355F5346"/>
    <w:rsid w:val="356154A3"/>
    <w:rsid w:val="356C6208"/>
    <w:rsid w:val="35891897"/>
    <w:rsid w:val="35A16764"/>
    <w:rsid w:val="35A31B9B"/>
    <w:rsid w:val="35A528ED"/>
    <w:rsid w:val="35AA17B0"/>
    <w:rsid w:val="35B45788"/>
    <w:rsid w:val="35C10C30"/>
    <w:rsid w:val="35EA5AA6"/>
    <w:rsid w:val="35F20F6C"/>
    <w:rsid w:val="360503D5"/>
    <w:rsid w:val="360B5620"/>
    <w:rsid w:val="36131792"/>
    <w:rsid w:val="361565A3"/>
    <w:rsid w:val="361721BF"/>
    <w:rsid w:val="36490F67"/>
    <w:rsid w:val="36642639"/>
    <w:rsid w:val="36642895"/>
    <w:rsid w:val="3670106D"/>
    <w:rsid w:val="368234C5"/>
    <w:rsid w:val="3696627D"/>
    <w:rsid w:val="36972139"/>
    <w:rsid w:val="36A67D6D"/>
    <w:rsid w:val="36A97FC6"/>
    <w:rsid w:val="36BA4418"/>
    <w:rsid w:val="36C9191A"/>
    <w:rsid w:val="36EB7528"/>
    <w:rsid w:val="36F06BED"/>
    <w:rsid w:val="36FB05F1"/>
    <w:rsid w:val="370D5C99"/>
    <w:rsid w:val="370E2819"/>
    <w:rsid w:val="371A1E57"/>
    <w:rsid w:val="372769E1"/>
    <w:rsid w:val="372A178C"/>
    <w:rsid w:val="372F575A"/>
    <w:rsid w:val="374445B2"/>
    <w:rsid w:val="374A0762"/>
    <w:rsid w:val="374C46BC"/>
    <w:rsid w:val="374E5563"/>
    <w:rsid w:val="37783DA5"/>
    <w:rsid w:val="3793032E"/>
    <w:rsid w:val="37AA6283"/>
    <w:rsid w:val="37AC7B83"/>
    <w:rsid w:val="37E20F35"/>
    <w:rsid w:val="37E22D83"/>
    <w:rsid w:val="37F30DCD"/>
    <w:rsid w:val="37FC557A"/>
    <w:rsid w:val="38021C59"/>
    <w:rsid w:val="38177063"/>
    <w:rsid w:val="381B6B84"/>
    <w:rsid w:val="382B16BC"/>
    <w:rsid w:val="38455F15"/>
    <w:rsid w:val="384766D1"/>
    <w:rsid w:val="384D2320"/>
    <w:rsid w:val="3857741F"/>
    <w:rsid w:val="38667E79"/>
    <w:rsid w:val="386D0B7F"/>
    <w:rsid w:val="387969B8"/>
    <w:rsid w:val="388831C3"/>
    <w:rsid w:val="38957303"/>
    <w:rsid w:val="389A502F"/>
    <w:rsid w:val="38AA0B5C"/>
    <w:rsid w:val="38AC45EB"/>
    <w:rsid w:val="38CC5105"/>
    <w:rsid w:val="38DA7A5F"/>
    <w:rsid w:val="38E7232A"/>
    <w:rsid w:val="38EA3BF9"/>
    <w:rsid w:val="38F34E37"/>
    <w:rsid w:val="390F20B2"/>
    <w:rsid w:val="39214003"/>
    <w:rsid w:val="393E0C76"/>
    <w:rsid w:val="394B2D37"/>
    <w:rsid w:val="394E36DF"/>
    <w:rsid w:val="39520E56"/>
    <w:rsid w:val="395362E4"/>
    <w:rsid w:val="395F0B04"/>
    <w:rsid w:val="398501E2"/>
    <w:rsid w:val="39986DE9"/>
    <w:rsid w:val="399A40BD"/>
    <w:rsid w:val="399C30AC"/>
    <w:rsid w:val="39A00FC5"/>
    <w:rsid w:val="39A143E7"/>
    <w:rsid w:val="39CC6BD5"/>
    <w:rsid w:val="39CE1AF2"/>
    <w:rsid w:val="39E03230"/>
    <w:rsid w:val="39E67EA8"/>
    <w:rsid w:val="3A030293"/>
    <w:rsid w:val="3A2A729F"/>
    <w:rsid w:val="3A331A48"/>
    <w:rsid w:val="3A4A4B54"/>
    <w:rsid w:val="3A536AAC"/>
    <w:rsid w:val="3A560932"/>
    <w:rsid w:val="3A602146"/>
    <w:rsid w:val="3A6E7113"/>
    <w:rsid w:val="3A7F3567"/>
    <w:rsid w:val="3A9521D7"/>
    <w:rsid w:val="3A971C55"/>
    <w:rsid w:val="3AAB598F"/>
    <w:rsid w:val="3AAD64C4"/>
    <w:rsid w:val="3AE51353"/>
    <w:rsid w:val="3AE54513"/>
    <w:rsid w:val="3AEB6CF0"/>
    <w:rsid w:val="3AF65541"/>
    <w:rsid w:val="3B2873C0"/>
    <w:rsid w:val="3B375623"/>
    <w:rsid w:val="3B417096"/>
    <w:rsid w:val="3B610F09"/>
    <w:rsid w:val="3B7C614E"/>
    <w:rsid w:val="3B811866"/>
    <w:rsid w:val="3BA03D08"/>
    <w:rsid w:val="3BAE3C5B"/>
    <w:rsid w:val="3BB9690A"/>
    <w:rsid w:val="3BCC0600"/>
    <w:rsid w:val="3BD85A7A"/>
    <w:rsid w:val="3BDF08A2"/>
    <w:rsid w:val="3BE748C9"/>
    <w:rsid w:val="3BF45759"/>
    <w:rsid w:val="3C004042"/>
    <w:rsid w:val="3C031E11"/>
    <w:rsid w:val="3C1F2586"/>
    <w:rsid w:val="3C237E80"/>
    <w:rsid w:val="3C386439"/>
    <w:rsid w:val="3C485883"/>
    <w:rsid w:val="3C4A7EF6"/>
    <w:rsid w:val="3C540896"/>
    <w:rsid w:val="3C55336D"/>
    <w:rsid w:val="3C69464B"/>
    <w:rsid w:val="3C72030F"/>
    <w:rsid w:val="3C7D23FA"/>
    <w:rsid w:val="3C8405A0"/>
    <w:rsid w:val="3C8961A9"/>
    <w:rsid w:val="3C925263"/>
    <w:rsid w:val="3CB70089"/>
    <w:rsid w:val="3CB937E3"/>
    <w:rsid w:val="3CC10178"/>
    <w:rsid w:val="3CC82828"/>
    <w:rsid w:val="3CD40DBE"/>
    <w:rsid w:val="3CE01BE7"/>
    <w:rsid w:val="3CE8544C"/>
    <w:rsid w:val="3CEA5F1E"/>
    <w:rsid w:val="3CF10449"/>
    <w:rsid w:val="3D1964A2"/>
    <w:rsid w:val="3D372981"/>
    <w:rsid w:val="3D431E9A"/>
    <w:rsid w:val="3D7930C5"/>
    <w:rsid w:val="3D8F13A1"/>
    <w:rsid w:val="3D9B2F6B"/>
    <w:rsid w:val="3DA85566"/>
    <w:rsid w:val="3DBD7B34"/>
    <w:rsid w:val="3DE44A8A"/>
    <w:rsid w:val="3DF63982"/>
    <w:rsid w:val="3E050A83"/>
    <w:rsid w:val="3E174881"/>
    <w:rsid w:val="3E24598C"/>
    <w:rsid w:val="3E2A1098"/>
    <w:rsid w:val="3E2D200D"/>
    <w:rsid w:val="3E3229DB"/>
    <w:rsid w:val="3E4D50D8"/>
    <w:rsid w:val="3E4F7A40"/>
    <w:rsid w:val="3E5B0DE7"/>
    <w:rsid w:val="3E6F6DEC"/>
    <w:rsid w:val="3E8B3716"/>
    <w:rsid w:val="3E9011C2"/>
    <w:rsid w:val="3E986924"/>
    <w:rsid w:val="3EA92265"/>
    <w:rsid w:val="3EAD5A16"/>
    <w:rsid w:val="3EB754B1"/>
    <w:rsid w:val="3EBB2F95"/>
    <w:rsid w:val="3EBB4764"/>
    <w:rsid w:val="3ECE641A"/>
    <w:rsid w:val="3ECF60F0"/>
    <w:rsid w:val="3EEF4A49"/>
    <w:rsid w:val="3F1646B6"/>
    <w:rsid w:val="3F2C512B"/>
    <w:rsid w:val="3F420FE7"/>
    <w:rsid w:val="3F437E87"/>
    <w:rsid w:val="3F672CD9"/>
    <w:rsid w:val="3F7B4995"/>
    <w:rsid w:val="3F83670F"/>
    <w:rsid w:val="3FA40B4D"/>
    <w:rsid w:val="3FA94734"/>
    <w:rsid w:val="3FAE7C86"/>
    <w:rsid w:val="3FB37855"/>
    <w:rsid w:val="3FC468AA"/>
    <w:rsid w:val="3FC511A1"/>
    <w:rsid w:val="3FC558FD"/>
    <w:rsid w:val="3FCB6D86"/>
    <w:rsid w:val="3FD71823"/>
    <w:rsid w:val="3FE42959"/>
    <w:rsid w:val="3FE55AC8"/>
    <w:rsid w:val="3FED7907"/>
    <w:rsid w:val="3FEE6767"/>
    <w:rsid w:val="3FF326F3"/>
    <w:rsid w:val="400513A0"/>
    <w:rsid w:val="400A3C94"/>
    <w:rsid w:val="400C02E8"/>
    <w:rsid w:val="4010092A"/>
    <w:rsid w:val="402E746F"/>
    <w:rsid w:val="403459E4"/>
    <w:rsid w:val="40403D06"/>
    <w:rsid w:val="404A6770"/>
    <w:rsid w:val="40575D46"/>
    <w:rsid w:val="406142AC"/>
    <w:rsid w:val="4061776B"/>
    <w:rsid w:val="406B2748"/>
    <w:rsid w:val="407059E4"/>
    <w:rsid w:val="407A252E"/>
    <w:rsid w:val="40956BE4"/>
    <w:rsid w:val="409E6C48"/>
    <w:rsid w:val="409F28B3"/>
    <w:rsid w:val="40AF162A"/>
    <w:rsid w:val="40BA4C2C"/>
    <w:rsid w:val="40C0245B"/>
    <w:rsid w:val="40C4543E"/>
    <w:rsid w:val="40CE37ED"/>
    <w:rsid w:val="40D326F3"/>
    <w:rsid w:val="40E83499"/>
    <w:rsid w:val="40EC1836"/>
    <w:rsid w:val="40EE0B0B"/>
    <w:rsid w:val="40F842A3"/>
    <w:rsid w:val="412841C8"/>
    <w:rsid w:val="4131446A"/>
    <w:rsid w:val="4134251D"/>
    <w:rsid w:val="413704AA"/>
    <w:rsid w:val="416F688A"/>
    <w:rsid w:val="41730B7F"/>
    <w:rsid w:val="4194753A"/>
    <w:rsid w:val="41991DB0"/>
    <w:rsid w:val="41A253D0"/>
    <w:rsid w:val="41B81747"/>
    <w:rsid w:val="41BD576A"/>
    <w:rsid w:val="41E829EC"/>
    <w:rsid w:val="41F35329"/>
    <w:rsid w:val="41F46186"/>
    <w:rsid w:val="420942A6"/>
    <w:rsid w:val="424E654C"/>
    <w:rsid w:val="425000FD"/>
    <w:rsid w:val="42666D6B"/>
    <w:rsid w:val="426701C1"/>
    <w:rsid w:val="427A132C"/>
    <w:rsid w:val="427E1A25"/>
    <w:rsid w:val="42823954"/>
    <w:rsid w:val="42844FE8"/>
    <w:rsid w:val="428B23C3"/>
    <w:rsid w:val="42A27886"/>
    <w:rsid w:val="42B26CA6"/>
    <w:rsid w:val="42BF022A"/>
    <w:rsid w:val="42C164BB"/>
    <w:rsid w:val="42E905D1"/>
    <w:rsid w:val="43013830"/>
    <w:rsid w:val="43031470"/>
    <w:rsid w:val="43087E22"/>
    <w:rsid w:val="4309186F"/>
    <w:rsid w:val="430E5E9A"/>
    <w:rsid w:val="43176307"/>
    <w:rsid w:val="431E5FCB"/>
    <w:rsid w:val="43255770"/>
    <w:rsid w:val="43545E10"/>
    <w:rsid w:val="435A48B1"/>
    <w:rsid w:val="43661620"/>
    <w:rsid w:val="43823E93"/>
    <w:rsid w:val="43907A8D"/>
    <w:rsid w:val="43940731"/>
    <w:rsid w:val="439B62CA"/>
    <w:rsid w:val="439C056B"/>
    <w:rsid w:val="439E060D"/>
    <w:rsid w:val="43B902E1"/>
    <w:rsid w:val="43E00295"/>
    <w:rsid w:val="440B052F"/>
    <w:rsid w:val="441D2DB9"/>
    <w:rsid w:val="442E654D"/>
    <w:rsid w:val="4459699A"/>
    <w:rsid w:val="4462282F"/>
    <w:rsid w:val="4471552F"/>
    <w:rsid w:val="448479E0"/>
    <w:rsid w:val="448A7FA6"/>
    <w:rsid w:val="44905D64"/>
    <w:rsid w:val="44B24D9E"/>
    <w:rsid w:val="44BA21DB"/>
    <w:rsid w:val="44C531E1"/>
    <w:rsid w:val="44CE7C16"/>
    <w:rsid w:val="44E37B0B"/>
    <w:rsid w:val="44E75688"/>
    <w:rsid w:val="44F663B6"/>
    <w:rsid w:val="44FB671B"/>
    <w:rsid w:val="45126586"/>
    <w:rsid w:val="4515401A"/>
    <w:rsid w:val="45234C10"/>
    <w:rsid w:val="452B5232"/>
    <w:rsid w:val="454334A1"/>
    <w:rsid w:val="454B1EBD"/>
    <w:rsid w:val="456A54B0"/>
    <w:rsid w:val="456F649A"/>
    <w:rsid w:val="45733292"/>
    <w:rsid w:val="459226CE"/>
    <w:rsid w:val="45AD4CB1"/>
    <w:rsid w:val="45C316CB"/>
    <w:rsid w:val="45D224AF"/>
    <w:rsid w:val="45EF13EA"/>
    <w:rsid w:val="45EF3D32"/>
    <w:rsid w:val="45FC4BAA"/>
    <w:rsid w:val="46061908"/>
    <w:rsid w:val="461A5A86"/>
    <w:rsid w:val="46217448"/>
    <w:rsid w:val="46302A56"/>
    <w:rsid w:val="46343635"/>
    <w:rsid w:val="46396545"/>
    <w:rsid w:val="463F2846"/>
    <w:rsid w:val="466B7EAC"/>
    <w:rsid w:val="4690517E"/>
    <w:rsid w:val="46996FBA"/>
    <w:rsid w:val="46997DF3"/>
    <w:rsid w:val="469E7852"/>
    <w:rsid w:val="469F28E2"/>
    <w:rsid w:val="46BB44DF"/>
    <w:rsid w:val="46BC46F3"/>
    <w:rsid w:val="46C21B41"/>
    <w:rsid w:val="46C941A7"/>
    <w:rsid w:val="46D603A2"/>
    <w:rsid w:val="46DE1E06"/>
    <w:rsid w:val="46E85A17"/>
    <w:rsid w:val="47053B26"/>
    <w:rsid w:val="47182CA7"/>
    <w:rsid w:val="473C450E"/>
    <w:rsid w:val="47430883"/>
    <w:rsid w:val="4776624A"/>
    <w:rsid w:val="4795557D"/>
    <w:rsid w:val="47B919A7"/>
    <w:rsid w:val="47BF507A"/>
    <w:rsid w:val="47C74D94"/>
    <w:rsid w:val="47CA1221"/>
    <w:rsid w:val="47D42B29"/>
    <w:rsid w:val="47F31355"/>
    <w:rsid w:val="4809473C"/>
    <w:rsid w:val="481C6978"/>
    <w:rsid w:val="4826753F"/>
    <w:rsid w:val="48381EC0"/>
    <w:rsid w:val="48487D32"/>
    <w:rsid w:val="484D4125"/>
    <w:rsid w:val="48502C41"/>
    <w:rsid w:val="485A21EF"/>
    <w:rsid w:val="485A532E"/>
    <w:rsid w:val="486E0578"/>
    <w:rsid w:val="48825F81"/>
    <w:rsid w:val="4887416C"/>
    <w:rsid w:val="489077DD"/>
    <w:rsid w:val="48B05B14"/>
    <w:rsid w:val="48CC6262"/>
    <w:rsid w:val="48D16E06"/>
    <w:rsid w:val="48D37486"/>
    <w:rsid w:val="48D717EC"/>
    <w:rsid w:val="48DB2530"/>
    <w:rsid w:val="48DE0AD5"/>
    <w:rsid w:val="48F10816"/>
    <w:rsid w:val="48F4268B"/>
    <w:rsid w:val="48F55E89"/>
    <w:rsid w:val="491333FE"/>
    <w:rsid w:val="49165332"/>
    <w:rsid w:val="491C1A3E"/>
    <w:rsid w:val="49445795"/>
    <w:rsid w:val="494707C7"/>
    <w:rsid w:val="494915C9"/>
    <w:rsid w:val="494A5272"/>
    <w:rsid w:val="494E56D4"/>
    <w:rsid w:val="49507E2D"/>
    <w:rsid w:val="495864E3"/>
    <w:rsid w:val="49735B5D"/>
    <w:rsid w:val="49867B06"/>
    <w:rsid w:val="498704CE"/>
    <w:rsid w:val="498736BA"/>
    <w:rsid w:val="499326D3"/>
    <w:rsid w:val="49AD5BED"/>
    <w:rsid w:val="49C06236"/>
    <w:rsid w:val="49CD7B75"/>
    <w:rsid w:val="49D5652F"/>
    <w:rsid w:val="49D62341"/>
    <w:rsid w:val="49D87601"/>
    <w:rsid w:val="49E10EC8"/>
    <w:rsid w:val="49FE2700"/>
    <w:rsid w:val="4A042DAF"/>
    <w:rsid w:val="4A0C35A2"/>
    <w:rsid w:val="4A0E1AC5"/>
    <w:rsid w:val="4A165F1B"/>
    <w:rsid w:val="4A190DE9"/>
    <w:rsid w:val="4A1E3C6F"/>
    <w:rsid w:val="4A2A0996"/>
    <w:rsid w:val="4A366841"/>
    <w:rsid w:val="4A58168F"/>
    <w:rsid w:val="4A695164"/>
    <w:rsid w:val="4A8D2781"/>
    <w:rsid w:val="4A975518"/>
    <w:rsid w:val="4ACC5BD9"/>
    <w:rsid w:val="4ADA50FD"/>
    <w:rsid w:val="4AF955EA"/>
    <w:rsid w:val="4B0649BA"/>
    <w:rsid w:val="4B2C28AF"/>
    <w:rsid w:val="4B322964"/>
    <w:rsid w:val="4B4C7C75"/>
    <w:rsid w:val="4B68170F"/>
    <w:rsid w:val="4B691EC9"/>
    <w:rsid w:val="4B8B24DD"/>
    <w:rsid w:val="4B9A64AB"/>
    <w:rsid w:val="4BA12413"/>
    <w:rsid w:val="4BA40B3D"/>
    <w:rsid w:val="4BA44460"/>
    <w:rsid w:val="4BA63511"/>
    <w:rsid w:val="4BA72D14"/>
    <w:rsid w:val="4BCF12C3"/>
    <w:rsid w:val="4BD95AEA"/>
    <w:rsid w:val="4BF04D45"/>
    <w:rsid w:val="4BFD1507"/>
    <w:rsid w:val="4BFD1DF8"/>
    <w:rsid w:val="4C1A2427"/>
    <w:rsid w:val="4C230B00"/>
    <w:rsid w:val="4C286E40"/>
    <w:rsid w:val="4C2F2DCC"/>
    <w:rsid w:val="4C5A3361"/>
    <w:rsid w:val="4C63627C"/>
    <w:rsid w:val="4C7146A6"/>
    <w:rsid w:val="4C7433B9"/>
    <w:rsid w:val="4C755E5B"/>
    <w:rsid w:val="4C7D0713"/>
    <w:rsid w:val="4CA50490"/>
    <w:rsid w:val="4CA94CA8"/>
    <w:rsid w:val="4CC357F8"/>
    <w:rsid w:val="4CC72B67"/>
    <w:rsid w:val="4CE64464"/>
    <w:rsid w:val="4CE742C4"/>
    <w:rsid w:val="4CF41085"/>
    <w:rsid w:val="4CF86593"/>
    <w:rsid w:val="4D016F6E"/>
    <w:rsid w:val="4D037B5C"/>
    <w:rsid w:val="4D25077C"/>
    <w:rsid w:val="4D267E7D"/>
    <w:rsid w:val="4D2C13B1"/>
    <w:rsid w:val="4D2E3259"/>
    <w:rsid w:val="4D404F2F"/>
    <w:rsid w:val="4D46700D"/>
    <w:rsid w:val="4D4B34C3"/>
    <w:rsid w:val="4D5E4924"/>
    <w:rsid w:val="4D895E7A"/>
    <w:rsid w:val="4DA279DF"/>
    <w:rsid w:val="4DA309B1"/>
    <w:rsid w:val="4DA743BE"/>
    <w:rsid w:val="4DB85967"/>
    <w:rsid w:val="4DB87118"/>
    <w:rsid w:val="4DC61781"/>
    <w:rsid w:val="4DE9440B"/>
    <w:rsid w:val="4DEC3CE0"/>
    <w:rsid w:val="4E0130FB"/>
    <w:rsid w:val="4E194237"/>
    <w:rsid w:val="4E2468E9"/>
    <w:rsid w:val="4E3D68E5"/>
    <w:rsid w:val="4E6F64CB"/>
    <w:rsid w:val="4E98644D"/>
    <w:rsid w:val="4EA053B3"/>
    <w:rsid w:val="4EA221CF"/>
    <w:rsid w:val="4EAE7C9F"/>
    <w:rsid w:val="4ECC2B2C"/>
    <w:rsid w:val="4ED81BC9"/>
    <w:rsid w:val="4EED3227"/>
    <w:rsid w:val="4EFB1DAE"/>
    <w:rsid w:val="4F0F3000"/>
    <w:rsid w:val="4F1103AF"/>
    <w:rsid w:val="4F1B24A1"/>
    <w:rsid w:val="4F242CA8"/>
    <w:rsid w:val="4F2C4034"/>
    <w:rsid w:val="4F535FF7"/>
    <w:rsid w:val="4F547BC0"/>
    <w:rsid w:val="4F606830"/>
    <w:rsid w:val="4F632833"/>
    <w:rsid w:val="4F6579F9"/>
    <w:rsid w:val="4F6B5159"/>
    <w:rsid w:val="4F742479"/>
    <w:rsid w:val="4F8460B0"/>
    <w:rsid w:val="4F8D2D48"/>
    <w:rsid w:val="4FE92E4C"/>
    <w:rsid w:val="50033357"/>
    <w:rsid w:val="500951DA"/>
    <w:rsid w:val="5023226A"/>
    <w:rsid w:val="50342257"/>
    <w:rsid w:val="5037195B"/>
    <w:rsid w:val="50581C89"/>
    <w:rsid w:val="50607080"/>
    <w:rsid w:val="507445B9"/>
    <w:rsid w:val="507F5100"/>
    <w:rsid w:val="50840097"/>
    <w:rsid w:val="508B13F1"/>
    <w:rsid w:val="509464F3"/>
    <w:rsid w:val="509F7DC4"/>
    <w:rsid w:val="50AD48BB"/>
    <w:rsid w:val="50B84191"/>
    <w:rsid w:val="50BC7C28"/>
    <w:rsid w:val="50C9693C"/>
    <w:rsid w:val="50D01B46"/>
    <w:rsid w:val="50D527A1"/>
    <w:rsid w:val="50E81293"/>
    <w:rsid w:val="50FE1320"/>
    <w:rsid w:val="51026483"/>
    <w:rsid w:val="51055165"/>
    <w:rsid w:val="51285B8C"/>
    <w:rsid w:val="51350C4D"/>
    <w:rsid w:val="517767F5"/>
    <w:rsid w:val="518774C3"/>
    <w:rsid w:val="518A1557"/>
    <w:rsid w:val="5194396D"/>
    <w:rsid w:val="519F7546"/>
    <w:rsid w:val="51CC51FD"/>
    <w:rsid w:val="51CE0521"/>
    <w:rsid w:val="51CF3C56"/>
    <w:rsid w:val="51E60DF4"/>
    <w:rsid w:val="51ED789E"/>
    <w:rsid w:val="51EE6BF3"/>
    <w:rsid w:val="51F65084"/>
    <w:rsid w:val="521C75FC"/>
    <w:rsid w:val="521D425A"/>
    <w:rsid w:val="521D7A77"/>
    <w:rsid w:val="5231641D"/>
    <w:rsid w:val="523C2BDD"/>
    <w:rsid w:val="524E243F"/>
    <w:rsid w:val="52745B76"/>
    <w:rsid w:val="527C6AF3"/>
    <w:rsid w:val="52912923"/>
    <w:rsid w:val="52960FC2"/>
    <w:rsid w:val="52A57A8D"/>
    <w:rsid w:val="52B1363B"/>
    <w:rsid w:val="52B14033"/>
    <w:rsid w:val="52B30930"/>
    <w:rsid w:val="52C323C3"/>
    <w:rsid w:val="52CF44B9"/>
    <w:rsid w:val="52DB55AD"/>
    <w:rsid w:val="52EA4D2D"/>
    <w:rsid w:val="52F97788"/>
    <w:rsid w:val="53026447"/>
    <w:rsid w:val="53071767"/>
    <w:rsid w:val="5310052A"/>
    <w:rsid w:val="532A5839"/>
    <w:rsid w:val="53334B5A"/>
    <w:rsid w:val="53386489"/>
    <w:rsid w:val="533A2944"/>
    <w:rsid w:val="535E283F"/>
    <w:rsid w:val="536B4DDD"/>
    <w:rsid w:val="537B3921"/>
    <w:rsid w:val="53897A34"/>
    <w:rsid w:val="53900730"/>
    <w:rsid w:val="53920C15"/>
    <w:rsid w:val="53A000C2"/>
    <w:rsid w:val="53B22ABF"/>
    <w:rsid w:val="53B93D7C"/>
    <w:rsid w:val="53C33362"/>
    <w:rsid w:val="53C42EA0"/>
    <w:rsid w:val="53CE4492"/>
    <w:rsid w:val="53DA244F"/>
    <w:rsid w:val="53DD7AF4"/>
    <w:rsid w:val="53E3723B"/>
    <w:rsid w:val="54213EE8"/>
    <w:rsid w:val="543142DC"/>
    <w:rsid w:val="54361F0A"/>
    <w:rsid w:val="54373819"/>
    <w:rsid w:val="5440627C"/>
    <w:rsid w:val="544D2203"/>
    <w:rsid w:val="545F60D6"/>
    <w:rsid w:val="54664607"/>
    <w:rsid w:val="548F3BB2"/>
    <w:rsid w:val="54A0603C"/>
    <w:rsid w:val="54DE7CEC"/>
    <w:rsid w:val="54EA55DA"/>
    <w:rsid w:val="54F170CF"/>
    <w:rsid w:val="54F33620"/>
    <w:rsid w:val="550D12C8"/>
    <w:rsid w:val="551109D1"/>
    <w:rsid w:val="55127F03"/>
    <w:rsid w:val="552A7950"/>
    <w:rsid w:val="553E1C15"/>
    <w:rsid w:val="554E30B0"/>
    <w:rsid w:val="55516E1C"/>
    <w:rsid w:val="55637CD5"/>
    <w:rsid w:val="55670894"/>
    <w:rsid w:val="55722EC8"/>
    <w:rsid w:val="558C2060"/>
    <w:rsid w:val="559F62FC"/>
    <w:rsid w:val="55A86C41"/>
    <w:rsid w:val="55AC2BC4"/>
    <w:rsid w:val="55B326E6"/>
    <w:rsid w:val="55B61187"/>
    <w:rsid w:val="55B61D7B"/>
    <w:rsid w:val="55CE127A"/>
    <w:rsid w:val="55CE585F"/>
    <w:rsid w:val="55DF67D6"/>
    <w:rsid w:val="55EA2CB5"/>
    <w:rsid w:val="55EC1E85"/>
    <w:rsid w:val="55F75C0E"/>
    <w:rsid w:val="55FC4A0A"/>
    <w:rsid w:val="55FD1E44"/>
    <w:rsid w:val="560161E4"/>
    <w:rsid w:val="5614477E"/>
    <w:rsid w:val="5615685B"/>
    <w:rsid w:val="561D1EC4"/>
    <w:rsid w:val="56251F7F"/>
    <w:rsid w:val="562D2732"/>
    <w:rsid w:val="56535A0E"/>
    <w:rsid w:val="568C4198"/>
    <w:rsid w:val="56A417B8"/>
    <w:rsid w:val="56A74275"/>
    <w:rsid w:val="56B00DFC"/>
    <w:rsid w:val="56CC2D62"/>
    <w:rsid w:val="56D50D62"/>
    <w:rsid w:val="56D73191"/>
    <w:rsid w:val="56DB68E9"/>
    <w:rsid w:val="56E539F0"/>
    <w:rsid w:val="570B57BB"/>
    <w:rsid w:val="570F0514"/>
    <w:rsid w:val="57147D3A"/>
    <w:rsid w:val="57233A4D"/>
    <w:rsid w:val="572453C3"/>
    <w:rsid w:val="572557E0"/>
    <w:rsid w:val="57256F65"/>
    <w:rsid w:val="572A7E48"/>
    <w:rsid w:val="573466ED"/>
    <w:rsid w:val="573F2EBB"/>
    <w:rsid w:val="574E0436"/>
    <w:rsid w:val="575C5FF8"/>
    <w:rsid w:val="577A085C"/>
    <w:rsid w:val="57912EBA"/>
    <w:rsid w:val="57B71C4D"/>
    <w:rsid w:val="57CD3C06"/>
    <w:rsid w:val="57E24DA0"/>
    <w:rsid w:val="57F70D54"/>
    <w:rsid w:val="57FD620F"/>
    <w:rsid w:val="580B248A"/>
    <w:rsid w:val="581341AC"/>
    <w:rsid w:val="58262902"/>
    <w:rsid w:val="583B687D"/>
    <w:rsid w:val="5844610C"/>
    <w:rsid w:val="585D440C"/>
    <w:rsid w:val="58647D91"/>
    <w:rsid w:val="5866411B"/>
    <w:rsid w:val="587061E8"/>
    <w:rsid w:val="58782BAA"/>
    <w:rsid w:val="58827F43"/>
    <w:rsid w:val="58844F8A"/>
    <w:rsid w:val="58850537"/>
    <w:rsid w:val="588A4151"/>
    <w:rsid w:val="58B15F75"/>
    <w:rsid w:val="58C671D9"/>
    <w:rsid w:val="58DF61EE"/>
    <w:rsid w:val="58FE6D34"/>
    <w:rsid w:val="590705A5"/>
    <w:rsid w:val="590E561D"/>
    <w:rsid w:val="59155D46"/>
    <w:rsid w:val="591E39F9"/>
    <w:rsid w:val="5939319E"/>
    <w:rsid w:val="59763800"/>
    <w:rsid w:val="59787CA7"/>
    <w:rsid w:val="59864449"/>
    <w:rsid w:val="599B7D97"/>
    <w:rsid w:val="599E7B2A"/>
    <w:rsid w:val="59A26483"/>
    <w:rsid w:val="59CD63E1"/>
    <w:rsid w:val="59D83D7F"/>
    <w:rsid w:val="59E2730C"/>
    <w:rsid w:val="59FD73DB"/>
    <w:rsid w:val="5A102EEF"/>
    <w:rsid w:val="5A3859A6"/>
    <w:rsid w:val="5A5D512A"/>
    <w:rsid w:val="5A6526C6"/>
    <w:rsid w:val="5A6C494C"/>
    <w:rsid w:val="5A7D1396"/>
    <w:rsid w:val="5A7F09A5"/>
    <w:rsid w:val="5A8D03BF"/>
    <w:rsid w:val="5AA86B47"/>
    <w:rsid w:val="5AD72694"/>
    <w:rsid w:val="5ADB26BE"/>
    <w:rsid w:val="5AE70A8A"/>
    <w:rsid w:val="5AE930BA"/>
    <w:rsid w:val="5AF7193B"/>
    <w:rsid w:val="5AF964B5"/>
    <w:rsid w:val="5AFD1D42"/>
    <w:rsid w:val="5B0008C4"/>
    <w:rsid w:val="5B012F83"/>
    <w:rsid w:val="5B51222A"/>
    <w:rsid w:val="5B567429"/>
    <w:rsid w:val="5B5A3C99"/>
    <w:rsid w:val="5B5B5E4B"/>
    <w:rsid w:val="5B7838FB"/>
    <w:rsid w:val="5B7C4A37"/>
    <w:rsid w:val="5B905CF5"/>
    <w:rsid w:val="5B9135EA"/>
    <w:rsid w:val="5B9833D6"/>
    <w:rsid w:val="5B9F09B0"/>
    <w:rsid w:val="5BB46C3C"/>
    <w:rsid w:val="5BBE6B1C"/>
    <w:rsid w:val="5BCE2A0A"/>
    <w:rsid w:val="5BF21481"/>
    <w:rsid w:val="5BF403C9"/>
    <w:rsid w:val="5BF54A57"/>
    <w:rsid w:val="5BF66B24"/>
    <w:rsid w:val="5C135833"/>
    <w:rsid w:val="5C160E12"/>
    <w:rsid w:val="5C1C0D25"/>
    <w:rsid w:val="5C301520"/>
    <w:rsid w:val="5C4369A6"/>
    <w:rsid w:val="5C4D42F1"/>
    <w:rsid w:val="5C541FCE"/>
    <w:rsid w:val="5C542807"/>
    <w:rsid w:val="5C54331B"/>
    <w:rsid w:val="5C5C5F3C"/>
    <w:rsid w:val="5C5D38CC"/>
    <w:rsid w:val="5C7855BE"/>
    <w:rsid w:val="5C7E0854"/>
    <w:rsid w:val="5C867560"/>
    <w:rsid w:val="5C981F3E"/>
    <w:rsid w:val="5C9D5D47"/>
    <w:rsid w:val="5C9F5C27"/>
    <w:rsid w:val="5CAC35CE"/>
    <w:rsid w:val="5CB76DDE"/>
    <w:rsid w:val="5CDB7B06"/>
    <w:rsid w:val="5CE003CC"/>
    <w:rsid w:val="5CE05A7F"/>
    <w:rsid w:val="5CE472F3"/>
    <w:rsid w:val="5D1625B5"/>
    <w:rsid w:val="5D1F273A"/>
    <w:rsid w:val="5D3D79C1"/>
    <w:rsid w:val="5D494E68"/>
    <w:rsid w:val="5D494EB8"/>
    <w:rsid w:val="5D5A5259"/>
    <w:rsid w:val="5D707ADE"/>
    <w:rsid w:val="5D714A27"/>
    <w:rsid w:val="5D75219E"/>
    <w:rsid w:val="5D865D47"/>
    <w:rsid w:val="5D896369"/>
    <w:rsid w:val="5D9850D3"/>
    <w:rsid w:val="5DA8453D"/>
    <w:rsid w:val="5DAA741B"/>
    <w:rsid w:val="5DB7778D"/>
    <w:rsid w:val="5DBC3794"/>
    <w:rsid w:val="5DF429B7"/>
    <w:rsid w:val="5DF5228B"/>
    <w:rsid w:val="5DFF5B61"/>
    <w:rsid w:val="5E012F50"/>
    <w:rsid w:val="5E051548"/>
    <w:rsid w:val="5E054FAE"/>
    <w:rsid w:val="5E067D6F"/>
    <w:rsid w:val="5E2104D1"/>
    <w:rsid w:val="5E55792D"/>
    <w:rsid w:val="5E59758D"/>
    <w:rsid w:val="5E836AFF"/>
    <w:rsid w:val="5E862B7C"/>
    <w:rsid w:val="5E900B46"/>
    <w:rsid w:val="5EA22844"/>
    <w:rsid w:val="5EA44AF8"/>
    <w:rsid w:val="5EB77B32"/>
    <w:rsid w:val="5EBD30C8"/>
    <w:rsid w:val="5EC36595"/>
    <w:rsid w:val="5EC935E3"/>
    <w:rsid w:val="5ED13974"/>
    <w:rsid w:val="5EEF3F9C"/>
    <w:rsid w:val="5EFB1B80"/>
    <w:rsid w:val="5F011430"/>
    <w:rsid w:val="5F076567"/>
    <w:rsid w:val="5F0C439F"/>
    <w:rsid w:val="5F0C7BE4"/>
    <w:rsid w:val="5F1C1798"/>
    <w:rsid w:val="5F354727"/>
    <w:rsid w:val="5F377E8A"/>
    <w:rsid w:val="5F3D78C4"/>
    <w:rsid w:val="5F4454BB"/>
    <w:rsid w:val="5F464517"/>
    <w:rsid w:val="5F6A7A23"/>
    <w:rsid w:val="5F7B4293"/>
    <w:rsid w:val="5F885B95"/>
    <w:rsid w:val="5FAA696A"/>
    <w:rsid w:val="5FB95692"/>
    <w:rsid w:val="5FC40972"/>
    <w:rsid w:val="5FD23B3F"/>
    <w:rsid w:val="5FD66646"/>
    <w:rsid w:val="5FD76104"/>
    <w:rsid w:val="5FFE4A08"/>
    <w:rsid w:val="600672C6"/>
    <w:rsid w:val="601153A2"/>
    <w:rsid w:val="60170AED"/>
    <w:rsid w:val="60170FF5"/>
    <w:rsid w:val="60374F37"/>
    <w:rsid w:val="60420F54"/>
    <w:rsid w:val="604767AE"/>
    <w:rsid w:val="606413E0"/>
    <w:rsid w:val="60664296"/>
    <w:rsid w:val="606C2AF1"/>
    <w:rsid w:val="60797260"/>
    <w:rsid w:val="607F417E"/>
    <w:rsid w:val="608C1786"/>
    <w:rsid w:val="6098023A"/>
    <w:rsid w:val="609A000A"/>
    <w:rsid w:val="609A6BD5"/>
    <w:rsid w:val="60A10452"/>
    <w:rsid w:val="60A77BEB"/>
    <w:rsid w:val="60B1595C"/>
    <w:rsid w:val="60B95874"/>
    <w:rsid w:val="60CB433D"/>
    <w:rsid w:val="60D17334"/>
    <w:rsid w:val="60D570B3"/>
    <w:rsid w:val="60E460AC"/>
    <w:rsid w:val="61053A11"/>
    <w:rsid w:val="61335C58"/>
    <w:rsid w:val="614C4F26"/>
    <w:rsid w:val="614D13CA"/>
    <w:rsid w:val="615068AC"/>
    <w:rsid w:val="6158302E"/>
    <w:rsid w:val="615C4D8F"/>
    <w:rsid w:val="61714AC5"/>
    <w:rsid w:val="61794A38"/>
    <w:rsid w:val="6195252D"/>
    <w:rsid w:val="61953AC4"/>
    <w:rsid w:val="619F2FCA"/>
    <w:rsid w:val="61AE793F"/>
    <w:rsid w:val="61BB25C2"/>
    <w:rsid w:val="61BE76AB"/>
    <w:rsid w:val="61D56E9E"/>
    <w:rsid w:val="61DA3E1A"/>
    <w:rsid w:val="61EA31AA"/>
    <w:rsid w:val="620B0204"/>
    <w:rsid w:val="621429A8"/>
    <w:rsid w:val="62166416"/>
    <w:rsid w:val="621D033D"/>
    <w:rsid w:val="62335A5F"/>
    <w:rsid w:val="62653F7C"/>
    <w:rsid w:val="626C7430"/>
    <w:rsid w:val="627E4BE3"/>
    <w:rsid w:val="62933B59"/>
    <w:rsid w:val="62936572"/>
    <w:rsid w:val="62973F20"/>
    <w:rsid w:val="629F3EDD"/>
    <w:rsid w:val="62B31F81"/>
    <w:rsid w:val="62CB1A6D"/>
    <w:rsid w:val="62CD25AC"/>
    <w:rsid w:val="62DC0154"/>
    <w:rsid w:val="62DE27E3"/>
    <w:rsid w:val="62E56B74"/>
    <w:rsid w:val="62F459D2"/>
    <w:rsid w:val="63081B20"/>
    <w:rsid w:val="630A5BDF"/>
    <w:rsid w:val="633061F4"/>
    <w:rsid w:val="63347A17"/>
    <w:rsid w:val="63421B81"/>
    <w:rsid w:val="63482513"/>
    <w:rsid w:val="635032DC"/>
    <w:rsid w:val="636835BC"/>
    <w:rsid w:val="63746E22"/>
    <w:rsid w:val="637F2A2E"/>
    <w:rsid w:val="63916D26"/>
    <w:rsid w:val="63926968"/>
    <w:rsid w:val="63951B1B"/>
    <w:rsid w:val="639B1123"/>
    <w:rsid w:val="639E3F80"/>
    <w:rsid w:val="63A366EB"/>
    <w:rsid w:val="63B53542"/>
    <w:rsid w:val="63B85804"/>
    <w:rsid w:val="63BC7301"/>
    <w:rsid w:val="63E00590"/>
    <w:rsid w:val="63E51FD7"/>
    <w:rsid w:val="63EA4D9B"/>
    <w:rsid w:val="6404323C"/>
    <w:rsid w:val="64193747"/>
    <w:rsid w:val="64254B35"/>
    <w:rsid w:val="642B52C7"/>
    <w:rsid w:val="6431383B"/>
    <w:rsid w:val="64407D86"/>
    <w:rsid w:val="64431C2B"/>
    <w:rsid w:val="644C5548"/>
    <w:rsid w:val="64544E02"/>
    <w:rsid w:val="64583355"/>
    <w:rsid w:val="64612EC1"/>
    <w:rsid w:val="646F5AE2"/>
    <w:rsid w:val="649060AC"/>
    <w:rsid w:val="649D530B"/>
    <w:rsid w:val="649F25C7"/>
    <w:rsid w:val="64BE6405"/>
    <w:rsid w:val="64CB7CD0"/>
    <w:rsid w:val="64D12104"/>
    <w:rsid w:val="64D23995"/>
    <w:rsid w:val="64E96CE6"/>
    <w:rsid w:val="64EA593F"/>
    <w:rsid w:val="650638CB"/>
    <w:rsid w:val="650B4D96"/>
    <w:rsid w:val="651C2773"/>
    <w:rsid w:val="653C0EC1"/>
    <w:rsid w:val="6548722A"/>
    <w:rsid w:val="65672E7D"/>
    <w:rsid w:val="65863094"/>
    <w:rsid w:val="65871BFD"/>
    <w:rsid w:val="658D32AB"/>
    <w:rsid w:val="659217D4"/>
    <w:rsid w:val="65DC513D"/>
    <w:rsid w:val="660375E6"/>
    <w:rsid w:val="660C291F"/>
    <w:rsid w:val="662068EC"/>
    <w:rsid w:val="66213F41"/>
    <w:rsid w:val="662702B4"/>
    <w:rsid w:val="662D60FD"/>
    <w:rsid w:val="66473C58"/>
    <w:rsid w:val="664E1430"/>
    <w:rsid w:val="66670244"/>
    <w:rsid w:val="666C6217"/>
    <w:rsid w:val="667C489B"/>
    <w:rsid w:val="668C1346"/>
    <w:rsid w:val="66915D49"/>
    <w:rsid w:val="66991C76"/>
    <w:rsid w:val="669E72EE"/>
    <w:rsid w:val="66A15217"/>
    <w:rsid w:val="66A833E0"/>
    <w:rsid w:val="66B03400"/>
    <w:rsid w:val="66B76060"/>
    <w:rsid w:val="66C4432D"/>
    <w:rsid w:val="66CC5EB9"/>
    <w:rsid w:val="66D050D8"/>
    <w:rsid w:val="66E168FA"/>
    <w:rsid w:val="66EE4108"/>
    <w:rsid w:val="66FD4C9B"/>
    <w:rsid w:val="67006EF2"/>
    <w:rsid w:val="670E16A3"/>
    <w:rsid w:val="670F2662"/>
    <w:rsid w:val="671725CE"/>
    <w:rsid w:val="67222E49"/>
    <w:rsid w:val="67243C5D"/>
    <w:rsid w:val="672E0602"/>
    <w:rsid w:val="672E7DC1"/>
    <w:rsid w:val="674043AF"/>
    <w:rsid w:val="674509C9"/>
    <w:rsid w:val="674B6F74"/>
    <w:rsid w:val="675B6710"/>
    <w:rsid w:val="6774037F"/>
    <w:rsid w:val="67865F43"/>
    <w:rsid w:val="678D35AD"/>
    <w:rsid w:val="67971ACF"/>
    <w:rsid w:val="67A31621"/>
    <w:rsid w:val="67AF6EA6"/>
    <w:rsid w:val="67BD28CF"/>
    <w:rsid w:val="67C65ECC"/>
    <w:rsid w:val="67CD464F"/>
    <w:rsid w:val="67E33A46"/>
    <w:rsid w:val="67EB6A66"/>
    <w:rsid w:val="67ED6FA3"/>
    <w:rsid w:val="67F22C9A"/>
    <w:rsid w:val="67F22DA3"/>
    <w:rsid w:val="68001E5B"/>
    <w:rsid w:val="68240BC2"/>
    <w:rsid w:val="682C4F27"/>
    <w:rsid w:val="684C57D9"/>
    <w:rsid w:val="6855296F"/>
    <w:rsid w:val="68874A9A"/>
    <w:rsid w:val="68905BAB"/>
    <w:rsid w:val="68996471"/>
    <w:rsid w:val="68CE45BD"/>
    <w:rsid w:val="68D938C1"/>
    <w:rsid w:val="68E24E5F"/>
    <w:rsid w:val="68E5300F"/>
    <w:rsid w:val="68EB3798"/>
    <w:rsid w:val="691136D3"/>
    <w:rsid w:val="6916194F"/>
    <w:rsid w:val="69261140"/>
    <w:rsid w:val="69270753"/>
    <w:rsid w:val="69395722"/>
    <w:rsid w:val="69477D7F"/>
    <w:rsid w:val="69797BCB"/>
    <w:rsid w:val="697A4491"/>
    <w:rsid w:val="697E4DCB"/>
    <w:rsid w:val="698C303F"/>
    <w:rsid w:val="69AD021C"/>
    <w:rsid w:val="69BA2F88"/>
    <w:rsid w:val="69BB288B"/>
    <w:rsid w:val="69BC6F48"/>
    <w:rsid w:val="69C315E3"/>
    <w:rsid w:val="69F3315F"/>
    <w:rsid w:val="69F57162"/>
    <w:rsid w:val="6A014DE8"/>
    <w:rsid w:val="6A0472A8"/>
    <w:rsid w:val="6A074B8F"/>
    <w:rsid w:val="6A1034BA"/>
    <w:rsid w:val="6A1878FB"/>
    <w:rsid w:val="6A1D32A7"/>
    <w:rsid w:val="6A1D6687"/>
    <w:rsid w:val="6A2824C3"/>
    <w:rsid w:val="6A2E11CD"/>
    <w:rsid w:val="6A342EB2"/>
    <w:rsid w:val="6A3C4F7B"/>
    <w:rsid w:val="6A40784D"/>
    <w:rsid w:val="6A4C7A11"/>
    <w:rsid w:val="6A562E42"/>
    <w:rsid w:val="6A593CF7"/>
    <w:rsid w:val="6A597720"/>
    <w:rsid w:val="6A5A6906"/>
    <w:rsid w:val="6A720792"/>
    <w:rsid w:val="6A8C7F93"/>
    <w:rsid w:val="6A955B90"/>
    <w:rsid w:val="6A9B1EB7"/>
    <w:rsid w:val="6AA263E8"/>
    <w:rsid w:val="6AA33E09"/>
    <w:rsid w:val="6AAF171A"/>
    <w:rsid w:val="6AC72155"/>
    <w:rsid w:val="6AD21B68"/>
    <w:rsid w:val="6ADF7C16"/>
    <w:rsid w:val="6AE36B89"/>
    <w:rsid w:val="6AEF0A2F"/>
    <w:rsid w:val="6B307C1D"/>
    <w:rsid w:val="6B3222CD"/>
    <w:rsid w:val="6B351E0A"/>
    <w:rsid w:val="6B483E82"/>
    <w:rsid w:val="6B542096"/>
    <w:rsid w:val="6B5D7895"/>
    <w:rsid w:val="6B666FFD"/>
    <w:rsid w:val="6B7A1CE2"/>
    <w:rsid w:val="6B85245D"/>
    <w:rsid w:val="6B8D7984"/>
    <w:rsid w:val="6B93214C"/>
    <w:rsid w:val="6B936736"/>
    <w:rsid w:val="6BA73AAA"/>
    <w:rsid w:val="6BA75C4A"/>
    <w:rsid w:val="6C1460A5"/>
    <w:rsid w:val="6C160DF4"/>
    <w:rsid w:val="6C27300E"/>
    <w:rsid w:val="6C2C5B8F"/>
    <w:rsid w:val="6C311E96"/>
    <w:rsid w:val="6C317425"/>
    <w:rsid w:val="6C350CCD"/>
    <w:rsid w:val="6C496C32"/>
    <w:rsid w:val="6C4E187D"/>
    <w:rsid w:val="6C576959"/>
    <w:rsid w:val="6C581E58"/>
    <w:rsid w:val="6C67446B"/>
    <w:rsid w:val="6C8B07CC"/>
    <w:rsid w:val="6C911540"/>
    <w:rsid w:val="6CA119D7"/>
    <w:rsid w:val="6CA60703"/>
    <w:rsid w:val="6CB85C98"/>
    <w:rsid w:val="6CC1604B"/>
    <w:rsid w:val="6CC52772"/>
    <w:rsid w:val="6CD45876"/>
    <w:rsid w:val="6CD93CA6"/>
    <w:rsid w:val="6D002DE2"/>
    <w:rsid w:val="6D1C1617"/>
    <w:rsid w:val="6D20517F"/>
    <w:rsid w:val="6D4A5744"/>
    <w:rsid w:val="6D503488"/>
    <w:rsid w:val="6D582E5C"/>
    <w:rsid w:val="6D5835E0"/>
    <w:rsid w:val="6D607927"/>
    <w:rsid w:val="6D615F95"/>
    <w:rsid w:val="6D7201C9"/>
    <w:rsid w:val="6D930881"/>
    <w:rsid w:val="6D9B22A5"/>
    <w:rsid w:val="6DAC7663"/>
    <w:rsid w:val="6DC415ED"/>
    <w:rsid w:val="6DC74347"/>
    <w:rsid w:val="6DE12491"/>
    <w:rsid w:val="6DF70DC6"/>
    <w:rsid w:val="6E0311AA"/>
    <w:rsid w:val="6E234DBD"/>
    <w:rsid w:val="6E242B7A"/>
    <w:rsid w:val="6E4A163B"/>
    <w:rsid w:val="6E5C46E9"/>
    <w:rsid w:val="6E7872AE"/>
    <w:rsid w:val="6E800E7D"/>
    <w:rsid w:val="6E801219"/>
    <w:rsid w:val="6E86063C"/>
    <w:rsid w:val="6E926D52"/>
    <w:rsid w:val="6ED818B5"/>
    <w:rsid w:val="6EE71193"/>
    <w:rsid w:val="6EF64FF5"/>
    <w:rsid w:val="6EFB614D"/>
    <w:rsid w:val="6F1E7F02"/>
    <w:rsid w:val="6F2555BE"/>
    <w:rsid w:val="6F260B6B"/>
    <w:rsid w:val="6F3B2291"/>
    <w:rsid w:val="6F470098"/>
    <w:rsid w:val="6F4F3BF7"/>
    <w:rsid w:val="6F573414"/>
    <w:rsid w:val="6F5E20EF"/>
    <w:rsid w:val="6F6331CB"/>
    <w:rsid w:val="6F655C5D"/>
    <w:rsid w:val="6F6D7F48"/>
    <w:rsid w:val="6F842A95"/>
    <w:rsid w:val="6F9F6EED"/>
    <w:rsid w:val="6FAA066C"/>
    <w:rsid w:val="6FAE6165"/>
    <w:rsid w:val="6FB8321E"/>
    <w:rsid w:val="6FC429C6"/>
    <w:rsid w:val="6FCF5500"/>
    <w:rsid w:val="6FD931AF"/>
    <w:rsid w:val="6FDD36E4"/>
    <w:rsid w:val="6FF44F35"/>
    <w:rsid w:val="6FFF5C13"/>
    <w:rsid w:val="7017660A"/>
    <w:rsid w:val="704573AC"/>
    <w:rsid w:val="704716DB"/>
    <w:rsid w:val="704F5D82"/>
    <w:rsid w:val="70636C41"/>
    <w:rsid w:val="70643D51"/>
    <w:rsid w:val="70644036"/>
    <w:rsid w:val="706765A9"/>
    <w:rsid w:val="706C1141"/>
    <w:rsid w:val="707D307D"/>
    <w:rsid w:val="707F4EB4"/>
    <w:rsid w:val="7094612C"/>
    <w:rsid w:val="70A86EB7"/>
    <w:rsid w:val="70E40D37"/>
    <w:rsid w:val="70FC419A"/>
    <w:rsid w:val="71002DFF"/>
    <w:rsid w:val="71161E54"/>
    <w:rsid w:val="71192356"/>
    <w:rsid w:val="711F0261"/>
    <w:rsid w:val="71244940"/>
    <w:rsid w:val="712467E1"/>
    <w:rsid w:val="715B4275"/>
    <w:rsid w:val="71671D9D"/>
    <w:rsid w:val="71696ACD"/>
    <w:rsid w:val="716C4195"/>
    <w:rsid w:val="717857BC"/>
    <w:rsid w:val="7183652D"/>
    <w:rsid w:val="719D6652"/>
    <w:rsid w:val="71E362C8"/>
    <w:rsid w:val="71F3074B"/>
    <w:rsid w:val="71F91465"/>
    <w:rsid w:val="71FF7B0E"/>
    <w:rsid w:val="72035615"/>
    <w:rsid w:val="721E637B"/>
    <w:rsid w:val="721E773E"/>
    <w:rsid w:val="72681A4E"/>
    <w:rsid w:val="728F7DA5"/>
    <w:rsid w:val="729B4269"/>
    <w:rsid w:val="72A557AA"/>
    <w:rsid w:val="72AE1F34"/>
    <w:rsid w:val="72BE1077"/>
    <w:rsid w:val="72CB392C"/>
    <w:rsid w:val="72CC7F1F"/>
    <w:rsid w:val="72F161D0"/>
    <w:rsid w:val="72FA0516"/>
    <w:rsid w:val="73040D1A"/>
    <w:rsid w:val="730708E8"/>
    <w:rsid w:val="73131402"/>
    <w:rsid w:val="732353E3"/>
    <w:rsid w:val="7337363C"/>
    <w:rsid w:val="73406F28"/>
    <w:rsid w:val="734B2A04"/>
    <w:rsid w:val="73615044"/>
    <w:rsid w:val="73675434"/>
    <w:rsid w:val="736B74AF"/>
    <w:rsid w:val="739B4217"/>
    <w:rsid w:val="739D4EA3"/>
    <w:rsid w:val="73A17DFD"/>
    <w:rsid w:val="73B4428C"/>
    <w:rsid w:val="73D21D05"/>
    <w:rsid w:val="73DE6C61"/>
    <w:rsid w:val="73FB01F1"/>
    <w:rsid w:val="74161AE6"/>
    <w:rsid w:val="745234CB"/>
    <w:rsid w:val="74532140"/>
    <w:rsid w:val="745B5755"/>
    <w:rsid w:val="746C2342"/>
    <w:rsid w:val="74760586"/>
    <w:rsid w:val="747D3E3E"/>
    <w:rsid w:val="748E176C"/>
    <w:rsid w:val="749022A4"/>
    <w:rsid w:val="74BE3464"/>
    <w:rsid w:val="74C56C11"/>
    <w:rsid w:val="74D877B9"/>
    <w:rsid w:val="74D96E06"/>
    <w:rsid w:val="74DA1760"/>
    <w:rsid w:val="74DF2E5D"/>
    <w:rsid w:val="74E62D88"/>
    <w:rsid w:val="74E9713F"/>
    <w:rsid w:val="753242B7"/>
    <w:rsid w:val="753B2779"/>
    <w:rsid w:val="756438DB"/>
    <w:rsid w:val="75646908"/>
    <w:rsid w:val="7574360B"/>
    <w:rsid w:val="75784400"/>
    <w:rsid w:val="757F1917"/>
    <w:rsid w:val="75830CC9"/>
    <w:rsid w:val="758C300E"/>
    <w:rsid w:val="75AB3C9B"/>
    <w:rsid w:val="75AE2347"/>
    <w:rsid w:val="75CE2996"/>
    <w:rsid w:val="75F0193E"/>
    <w:rsid w:val="7612116F"/>
    <w:rsid w:val="761B142F"/>
    <w:rsid w:val="761B55FC"/>
    <w:rsid w:val="764151AF"/>
    <w:rsid w:val="76617478"/>
    <w:rsid w:val="766E40BA"/>
    <w:rsid w:val="767373BE"/>
    <w:rsid w:val="767711A0"/>
    <w:rsid w:val="769C39E7"/>
    <w:rsid w:val="76A55FD5"/>
    <w:rsid w:val="76CE5BE1"/>
    <w:rsid w:val="76DB2B7D"/>
    <w:rsid w:val="76DD4043"/>
    <w:rsid w:val="76EA3B43"/>
    <w:rsid w:val="76EC7C20"/>
    <w:rsid w:val="76F8252E"/>
    <w:rsid w:val="76F960AD"/>
    <w:rsid w:val="76FA2AC7"/>
    <w:rsid w:val="76FA4ACF"/>
    <w:rsid w:val="76FD0D45"/>
    <w:rsid w:val="76FD34EE"/>
    <w:rsid w:val="771574E8"/>
    <w:rsid w:val="773157F5"/>
    <w:rsid w:val="77351DBC"/>
    <w:rsid w:val="77585825"/>
    <w:rsid w:val="77AC5534"/>
    <w:rsid w:val="77B15FDE"/>
    <w:rsid w:val="77B33140"/>
    <w:rsid w:val="77C75324"/>
    <w:rsid w:val="77CB452E"/>
    <w:rsid w:val="77D30FFF"/>
    <w:rsid w:val="77D5581E"/>
    <w:rsid w:val="77D61E13"/>
    <w:rsid w:val="77E21611"/>
    <w:rsid w:val="77EF00DE"/>
    <w:rsid w:val="78021108"/>
    <w:rsid w:val="781328E4"/>
    <w:rsid w:val="78137980"/>
    <w:rsid w:val="782E2620"/>
    <w:rsid w:val="78393E0E"/>
    <w:rsid w:val="785E4509"/>
    <w:rsid w:val="786B2E79"/>
    <w:rsid w:val="786E1D23"/>
    <w:rsid w:val="7873068B"/>
    <w:rsid w:val="788C26AC"/>
    <w:rsid w:val="78A31959"/>
    <w:rsid w:val="78D42BB7"/>
    <w:rsid w:val="78E51A91"/>
    <w:rsid w:val="78E663C3"/>
    <w:rsid w:val="78EA70A7"/>
    <w:rsid w:val="791C7F3B"/>
    <w:rsid w:val="7930610D"/>
    <w:rsid w:val="79385FD1"/>
    <w:rsid w:val="79386064"/>
    <w:rsid w:val="793B6543"/>
    <w:rsid w:val="793C67BD"/>
    <w:rsid w:val="795E1EC8"/>
    <w:rsid w:val="795F3737"/>
    <w:rsid w:val="797E644B"/>
    <w:rsid w:val="79806FF9"/>
    <w:rsid w:val="79874671"/>
    <w:rsid w:val="79924594"/>
    <w:rsid w:val="79B25E17"/>
    <w:rsid w:val="79B55907"/>
    <w:rsid w:val="79C46C46"/>
    <w:rsid w:val="79C849FA"/>
    <w:rsid w:val="79CE2A46"/>
    <w:rsid w:val="79DC718C"/>
    <w:rsid w:val="79EF361B"/>
    <w:rsid w:val="79F552B8"/>
    <w:rsid w:val="79FB5BAB"/>
    <w:rsid w:val="7A0342B2"/>
    <w:rsid w:val="7A0B5763"/>
    <w:rsid w:val="7A156DED"/>
    <w:rsid w:val="7A17111F"/>
    <w:rsid w:val="7A3B2E13"/>
    <w:rsid w:val="7A4F6B4C"/>
    <w:rsid w:val="7A67618C"/>
    <w:rsid w:val="7A704A25"/>
    <w:rsid w:val="7A7F3DB1"/>
    <w:rsid w:val="7A8425EF"/>
    <w:rsid w:val="7A9659EC"/>
    <w:rsid w:val="7AA30A2D"/>
    <w:rsid w:val="7AA37C66"/>
    <w:rsid w:val="7AB32A7C"/>
    <w:rsid w:val="7AB63925"/>
    <w:rsid w:val="7ABA3E3E"/>
    <w:rsid w:val="7AC64302"/>
    <w:rsid w:val="7AC75272"/>
    <w:rsid w:val="7AE308BE"/>
    <w:rsid w:val="7AEC3E3A"/>
    <w:rsid w:val="7B1C5FC1"/>
    <w:rsid w:val="7B25146F"/>
    <w:rsid w:val="7B3C1914"/>
    <w:rsid w:val="7B4121D1"/>
    <w:rsid w:val="7B5356A5"/>
    <w:rsid w:val="7B59670C"/>
    <w:rsid w:val="7B5F0535"/>
    <w:rsid w:val="7B6E1D5F"/>
    <w:rsid w:val="7B6E5801"/>
    <w:rsid w:val="7B7402F6"/>
    <w:rsid w:val="7B787AD1"/>
    <w:rsid w:val="7B873427"/>
    <w:rsid w:val="7B874932"/>
    <w:rsid w:val="7B980D7B"/>
    <w:rsid w:val="7B9F6DA2"/>
    <w:rsid w:val="7BA00B2F"/>
    <w:rsid w:val="7BAB6EB0"/>
    <w:rsid w:val="7BAD3BC6"/>
    <w:rsid w:val="7BBB1883"/>
    <w:rsid w:val="7BF60633"/>
    <w:rsid w:val="7BF71D08"/>
    <w:rsid w:val="7BF91E2A"/>
    <w:rsid w:val="7C011B6C"/>
    <w:rsid w:val="7C371445"/>
    <w:rsid w:val="7C3821B5"/>
    <w:rsid w:val="7C3D6708"/>
    <w:rsid w:val="7C472941"/>
    <w:rsid w:val="7C5257C6"/>
    <w:rsid w:val="7C55670C"/>
    <w:rsid w:val="7C797C0F"/>
    <w:rsid w:val="7C9048F5"/>
    <w:rsid w:val="7CA1573F"/>
    <w:rsid w:val="7CA23DC8"/>
    <w:rsid w:val="7CA4190A"/>
    <w:rsid w:val="7CA72F35"/>
    <w:rsid w:val="7CB162BC"/>
    <w:rsid w:val="7CB41FEC"/>
    <w:rsid w:val="7D104882"/>
    <w:rsid w:val="7D170129"/>
    <w:rsid w:val="7D205CDB"/>
    <w:rsid w:val="7D2C1DAC"/>
    <w:rsid w:val="7D49216A"/>
    <w:rsid w:val="7D5072D2"/>
    <w:rsid w:val="7D605306"/>
    <w:rsid w:val="7D6649DA"/>
    <w:rsid w:val="7D8D6A57"/>
    <w:rsid w:val="7DA1769C"/>
    <w:rsid w:val="7DB87630"/>
    <w:rsid w:val="7DD90D35"/>
    <w:rsid w:val="7DDB7761"/>
    <w:rsid w:val="7DE43A61"/>
    <w:rsid w:val="7DFD371E"/>
    <w:rsid w:val="7DFE66D4"/>
    <w:rsid w:val="7E090409"/>
    <w:rsid w:val="7E090A67"/>
    <w:rsid w:val="7E1D6BB8"/>
    <w:rsid w:val="7E20312D"/>
    <w:rsid w:val="7E2B7BE8"/>
    <w:rsid w:val="7E3579C9"/>
    <w:rsid w:val="7E485BAB"/>
    <w:rsid w:val="7E521BBD"/>
    <w:rsid w:val="7E6F6AD3"/>
    <w:rsid w:val="7E7E6BA7"/>
    <w:rsid w:val="7E8A7362"/>
    <w:rsid w:val="7E8B0A2E"/>
    <w:rsid w:val="7EA17E5E"/>
    <w:rsid w:val="7EA9793D"/>
    <w:rsid w:val="7EB924EE"/>
    <w:rsid w:val="7EBB12A7"/>
    <w:rsid w:val="7EC12A49"/>
    <w:rsid w:val="7ECB7CC7"/>
    <w:rsid w:val="7ED06D3F"/>
    <w:rsid w:val="7ED34CE2"/>
    <w:rsid w:val="7EEA7103"/>
    <w:rsid w:val="7EEE5B5C"/>
    <w:rsid w:val="7EFA4E1B"/>
    <w:rsid w:val="7F1B68F9"/>
    <w:rsid w:val="7F263D37"/>
    <w:rsid w:val="7F623E3B"/>
    <w:rsid w:val="7F7A6939"/>
    <w:rsid w:val="7F862F7E"/>
    <w:rsid w:val="7F871AF4"/>
    <w:rsid w:val="7F8D3EEE"/>
    <w:rsid w:val="7F907C68"/>
    <w:rsid w:val="7F972F3C"/>
    <w:rsid w:val="7FA00E54"/>
    <w:rsid w:val="7FBA11E7"/>
    <w:rsid w:val="7FCB71B8"/>
    <w:rsid w:val="7FE03397"/>
    <w:rsid w:val="7FEB1212"/>
    <w:rsid w:val="7FEE03FE"/>
    <w:rsid w:val="7FF81D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qFormat/>
    <w:uiPriority w:val="0"/>
    <w:pPr>
      <w:ind w:left="0" w:right="0" w:firstLine="420"/>
    </w:pPr>
    <w:rPr>
      <w:rFonts w:ascii="Times New Roman" w:hAnsi="Times New Roman" w:eastAsia="宋体" w:cs="Times New Roman"/>
    </w:rPr>
  </w:style>
  <w:style w:type="paragraph" w:styleId="3">
    <w:name w:val="Body Text"/>
    <w:basedOn w:val="1"/>
    <w:qFormat/>
    <w:uiPriority w:val="0"/>
    <w:rPr>
      <w:rFonts w:ascii="宋体" w:hAnsi="宋体" w:eastAsia="宋体" w:cs="宋体"/>
      <w:sz w:val="32"/>
      <w:szCs w:val="32"/>
      <w:lang w:val="zh-CN" w:eastAsia="zh-CN" w:bidi="zh-CN"/>
    </w:rPr>
  </w:style>
  <w:style w:type="paragraph" w:styleId="5">
    <w:name w:val="Normal Indent"/>
    <w:basedOn w:val="1"/>
    <w:next w:val="1"/>
    <w:qFormat/>
    <w:uiPriority w:val="0"/>
    <w:pPr>
      <w:ind w:firstLine="420" w:firstLineChars="200"/>
    </w:pPr>
  </w:style>
  <w:style w:type="paragraph" w:styleId="6">
    <w:name w:val="Block Text"/>
    <w:basedOn w:val="1"/>
    <w:qFormat/>
    <w:uiPriority w:val="0"/>
    <w:pPr>
      <w:spacing w:after="120"/>
      <w:ind w:left="1440" w:leftChars="700" w:right="1440" w:rightChars="700"/>
      <w:jc w:val="both"/>
    </w:pPr>
    <w:rPr>
      <w:rFonts w:ascii="Times New Roman" w:hAnsi="Times New Roman" w:eastAsia="仿宋_GB2312" w:cs="Times New Roman"/>
      <w:kern w:val="2"/>
      <w:sz w:val="28"/>
      <w:szCs w:val="20"/>
      <w:lang w:eastAsia="zh-CN"/>
    </w:rPr>
  </w:style>
  <w:style w:type="paragraph" w:styleId="7">
    <w:name w:val="footer"/>
    <w:basedOn w:val="1"/>
    <w:next w:val="8"/>
    <w:qFormat/>
    <w:uiPriority w:val="0"/>
    <w:pPr>
      <w:tabs>
        <w:tab w:val="center" w:pos="4153"/>
        <w:tab w:val="right" w:pos="8306"/>
      </w:tabs>
      <w:snapToGrid w:val="0"/>
      <w:jc w:val="left"/>
    </w:pPr>
    <w:rPr>
      <w:sz w:val="18"/>
    </w:rPr>
  </w:style>
  <w:style w:type="paragraph" w:customStyle="1" w:styleId="8">
    <w:name w:val="样式 附件标题 + 段前: 0.5 行 段后: 1.5 行"/>
    <w:basedOn w:val="1"/>
    <w:qFormat/>
    <w:uiPriority w:val="0"/>
    <w:pPr>
      <w:spacing w:line="280" w:lineRule="exact"/>
    </w:pPr>
    <w:rPr>
      <w:rFonts w:ascii="宋体"/>
      <w:color w:val="000000"/>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中国华电集团公司</Company>
  <Pages>13</Pages>
  <Words>1452</Words>
  <Characters>1685</Characters>
  <Lines>0</Lines>
  <Paragraphs>0</Paragraphs>
  <TotalTime>1</TotalTime>
  <ScaleCrop>false</ScaleCrop>
  <LinksUpToDate>false</LinksUpToDate>
  <CharactersWithSpaces>1951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2024-09-26T03:27:00Z</dcterms:created>
  <dc:creator>林瑞平</dc:creator>
  <cp:lastModifiedBy>杨欣钰</cp:lastModifiedBy>
  <cp:lastPrinted>2025-09-08T05:01:00Z</cp:lastPrinted>
  <dcterms:modified xsi:type="dcterms:W3CDTF">2025-09-19T07:50:05Z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0A4F797B701641A0AB0F616E6115589F</vt:lpwstr>
  </property>
  <property fmtid="{D5CDD505-2E9C-101B-9397-08002B2CF9AE}" pid="4" name="KSOTemplateDocerSaveRecord">
    <vt:lpwstr>eyJoZGlkIjoiM2Y5MGEyZWVhMWYzY2NkNTkzZGIzYTNmNTA1MmY5NDEiLCJ1c2VySWQiOiIzMjM4ODQ1NjIifQ==</vt:lpwstr>
  </property>
</Properties>
</file>