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41F12">
      <w:pPr>
        <w:shd w:val="clear"/>
        <w:jc w:val="center"/>
        <w:rPr>
          <w:rFonts w:hint="eastAsia" w:ascii="黑体" w:hAnsi="黑体" w:eastAsia="黑体"/>
          <w:b/>
          <w:bCs/>
          <w:color w:val="auto"/>
          <w:spacing w:val="0"/>
          <w:sz w:val="44"/>
          <w:szCs w:val="44"/>
          <w:highlight w:val="none"/>
          <w:shd w:val="clear" w:color="auto" w:fill="auto"/>
        </w:rPr>
      </w:pPr>
      <w:r>
        <w:rPr>
          <w:rFonts w:hint="eastAsia" w:ascii="黑体" w:hAnsi="黑体" w:eastAsia="黑体"/>
          <w:b/>
          <w:bCs/>
          <w:color w:val="auto"/>
          <w:spacing w:val="0"/>
          <w:sz w:val="44"/>
          <w:szCs w:val="44"/>
          <w:highlight w:val="none"/>
          <w:shd w:val="clear" w:color="auto" w:fill="auto"/>
          <w:lang w:val="en-US" w:eastAsia="zh-CN"/>
        </w:rPr>
        <w:t>煤炭运输</w:t>
      </w:r>
      <w:r>
        <w:rPr>
          <w:rFonts w:hint="eastAsia" w:ascii="黑体" w:hAnsi="黑体" w:eastAsia="黑体"/>
          <w:b/>
          <w:bCs/>
          <w:color w:val="auto"/>
          <w:spacing w:val="0"/>
          <w:sz w:val="44"/>
          <w:szCs w:val="44"/>
          <w:highlight w:val="none"/>
          <w:shd w:val="clear" w:color="auto" w:fill="auto"/>
          <w:lang w:eastAsia="zh-CN"/>
        </w:rPr>
        <w:t>竞</w:t>
      </w:r>
      <w:r>
        <w:rPr>
          <w:rFonts w:hint="eastAsia" w:ascii="黑体" w:hAnsi="黑体" w:eastAsia="黑体"/>
          <w:b/>
          <w:bCs/>
          <w:color w:val="auto"/>
          <w:spacing w:val="0"/>
          <w:sz w:val="44"/>
          <w:szCs w:val="44"/>
          <w:highlight w:val="none"/>
          <w:shd w:val="clear" w:color="auto" w:fill="auto"/>
        </w:rPr>
        <w:t>价采购公告</w:t>
      </w:r>
    </w:p>
    <w:p w14:paraId="23C27C21">
      <w:pPr>
        <w:keepNext w:val="0"/>
        <w:keepLines w:val="0"/>
        <w:pageBreakBefore w:val="0"/>
        <w:widowControl w:val="0"/>
        <w:tabs>
          <w:tab w:val="left" w:pos="12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pacing w:val="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新疆华电煤业物资有限公司</w:t>
      </w:r>
      <w:r>
        <w:rPr>
          <w:rFonts w:hint="eastAsia" w:ascii="仿宋_GB2312" w:eastAsia="仿宋_GB2312" w:hAnsiTheme="minorHAnsi" w:cstheme="minorBidi"/>
          <w:color w:val="auto"/>
          <w:spacing w:val="0"/>
          <w:sz w:val="32"/>
          <w:szCs w:val="24"/>
          <w:highlight w:val="none"/>
        </w:rPr>
        <w:t>（以下简称煤业物资公司）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single"/>
          <w:shd w:val="clear"/>
        </w:rPr>
        <w:t>华电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u w:val="single"/>
          <w:shd w:val="clear"/>
          <w:lang w:val="en-US" w:eastAsia="zh-CN"/>
        </w:rPr>
        <w:t>伊宁市智慧能源有限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u w:val="single"/>
          <w:shd w:val="clear"/>
          <w:lang w:val="en-US"/>
        </w:rPr>
        <w:t>公司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shd w:val="clear"/>
          <w:lang w:val="en-US"/>
        </w:rPr>
        <w:t>（</w:t>
      </w:r>
      <w:r>
        <w:rPr>
          <w:rFonts w:hint="eastAsia" w:ascii="仿宋_GB2312" w:eastAsia="仿宋_GB2312" w:hAnsiTheme="minorHAnsi" w:cstheme="minorBidi"/>
          <w:color w:val="auto"/>
          <w:spacing w:val="0"/>
          <w:sz w:val="32"/>
          <w:szCs w:val="24"/>
          <w:highlight w:val="none"/>
          <w:shd w:val="clear"/>
        </w:rPr>
        <w:t>以下简称</w:t>
      </w:r>
      <w:r>
        <w:rPr>
          <w:rFonts w:hint="eastAsia" w:ascii="仿宋_GB2312" w:eastAsia="仿宋_GB2312" w:cstheme="minorBidi"/>
          <w:color w:val="auto"/>
          <w:spacing w:val="0"/>
          <w:sz w:val="32"/>
          <w:szCs w:val="24"/>
          <w:highlight w:val="none"/>
          <w:u w:val="single"/>
          <w:shd w:val="clear"/>
          <w:lang w:val="en-US" w:eastAsia="zh-CN"/>
        </w:rPr>
        <w:t>伊宁能源公司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shd w:val="clear"/>
          <w:lang w:val="en-US"/>
        </w:rPr>
        <w:t>）</w:t>
      </w:r>
      <w:r>
        <w:rPr>
          <w:rFonts w:hint="eastAsia" w:ascii="仿宋_GB2312" w:eastAsia="仿宋_GB2312"/>
          <w:bCs/>
          <w:color w:val="auto"/>
          <w:spacing w:val="0"/>
          <w:sz w:val="32"/>
          <w:szCs w:val="32"/>
          <w:highlight w:val="none"/>
          <w:u w:val="single"/>
          <w:shd w:val="clear"/>
          <w:lang w:val="en-US"/>
        </w:rPr>
        <w:t>2</w:t>
      </w:r>
      <w:r>
        <w:rPr>
          <w:rFonts w:ascii="仿宋_GB2312" w:eastAsia="仿宋_GB2312"/>
          <w:bCs/>
          <w:color w:val="auto"/>
          <w:spacing w:val="0"/>
          <w:sz w:val="32"/>
          <w:szCs w:val="32"/>
          <w:highlight w:val="none"/>
          <w:u w:val="single"/>
          <w:shd w:val="clear"/>
          <w:lang w:val="en-US"/>
        </w:rPr>
        <w:t>0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u w:val="single"/>
          <w:shd w:val="clear"/>
          <w:lang w:val="en-US" w:eastAsia="zh-CN"/>
        </w:rPr>
        <w:t>25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shd w:val="clear"/>
          <w:lang w:val="en-US"/>
        </w:rPr>
        <w:t>年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u w:val="single"/>
          <w:shd w:val="clear"/>
          <w:lang w:val="en-US" w:eastAsia="zh-CN"/>
        </w:rPr>
        <w:t>10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shd w:val="clear"/>
          <w:lang w:val="en-US" w:eastAsia="zh-CN"/>
        </w:rPr>
        <w:t>月-</w:t>
      </w:r>
      <w:r>
        <w:rPr>
          <w:rFonts w:hint="eastAsia" w:ascii="仿宋_GB2312" w:eastAsia="仿宋_GB2312"/>
          <w:bCs/>
          <w:color w:val="auto"/>
          <w:spacing w:val="0"/>
          <w:sz w:val="32"/>
          <w:szCs w:val="32"/>
          <w:highlight w:val="none"/>
          <w:u w:val="single"/>
          <w:shd w:val="clear"/>
          <w:lang w:val="en-US"/>
        </w:rPr>
        <w:t>2</w:t>
      </w:r>
      <w:r>
        <w:rPr>
          <w:rFonts w:ascii="仿宋_GB2312" w:eastAsia="仿宋_GB2312"/>
          <w:bCs/>
          <w:color w:val="auto"/>
          <w:spacing w:val="0"/>
          <w:sz w:val="32"/>
          <w:szCs w:val="32"/>
          <w:highlight w:val="none"/>
          <w:u w:val="single"/>
          <w:shd w:val="clear"/>
          <w:lang w:val="en-US"/>
        </w:rPr>
        <w:t>0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u w:val="single"/>
          <w:shd w:val="clear"/>
          <w:lang w:val="en-US" w:eastAsia="zh-CN"/>
        </w:rPr>
        <w:t>25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shd w:val="clear"/>
          <w:lang w:val="en-US"/>
        </w:rPr>
        <w:t>年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u w:val="single"/>
          <w:shd w:val="clear"/>
          <w:lang w:val="en-US" w:eastAsia="zh-CN"/>
        </w:rPr>
        <w:t>12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shd w:val="clear"/>
          <w:lang w:val="en-US" w:eastAsia="zh-CN"/>
        </w:rPr>
        <w:t>月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u w:val="single"/>
          <w:shd w:val="clear"/>
          <w:lang w:val="en-US" w:eastAsia="zh-CN"/>
        </w:rPr>
        <w:t>伊泰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shd w:val="clear"/>
          <w:lang w:val="en-US" w:eastAsia="zh-CN"/>
        </w:rPr>
        <w:t>煤矿</w:t>
      </w:r>
      <w:r>
        <w:rPr>
          <w:rFonts w:hint="eastAsia" w:ascii="仿宋_GB2312" w:hAnsi="仿宋_GB2312" w:eastAsia="仿宋_GB2312"/>
          <w:bCs/>
          <w:spacing w:val="0"/>
          <w:sz w:val="32"/>
          <w:szCs w:val="32"/>
          <w:u w:val="single"/>
          <w:lang w:val="en-US" w:eastAsia="zh-CN"/>
        </w:rPr>
        <w:t>汽车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shd w:val="clear"/>
          <w:lang w:val="en-US" w:eastAsia="zh-CN"/>
        </w:rPr>
        <w:t>运输服务</w:t>
      </w:r>
      <w:r>
        <w:rPr>
          <w:rFonts w:hint="eastAsia" w:ascii="仿宋_GB2312" w:eastAsia="仿宋_GB2312"/>
          <w:color w:val="auto"/>
          <w:spacing w:val="0"/>
          <w:sz w:val="32"/>
          <w:szCs w:val="32"/>
          <w:highlight w:val="none"/>
          <w:shd w:val="clear"/>
        </w:rPr>
        <w:t>进行平台竞价</w:t>
      </w:r>
      <w:r>
        <w:rPr>
          <w:rFonts w:hint="eastAsia" w:ascii="仿宋_GB2312" w:eastAsia="仿宋_GB2312"/>
          <w:color w:val="auto"/>
          <w:spacing w:val="0"/>
          <w:sz w:val="32"/>
          <w:szCs w:val="32"/>
          <w:highlight w:val="none"/>
          <w:shd w:val="clear"/>
          <w:lang w:val="en-US"/>
        </w:rPr>
        <w:t>采购</w:t>
      </w:r>
      <w:r>
        <w:rPr>
          <w:rFonts w:hint="eastAsia" w:ascii="仿宋_GB2312" w:eastAsia="仿宋_GB2312"/>
          <w:color w:val="auto"/>
          <w:spacing w:val="0"/>
          <w:sz w:val="32"/>
          <w:szCs w:val="32"/>
          <w:highlight w:val="none"/>
          <w:shd w:val="clear"/>
        </w:rPr>
        <w:t>，现公开邀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shd w:val="clear"/>
        </w:rPr>
        <w:t>请符合条件的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shd w:val="clear"/>
          <w:lang w:val="en-US" w:eastAsia="zh-CN"/>
        </w:rPr>
        <w:t>供应商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shd w:val="clear"/>
        </w:rPr>
        <w:t>参加。</w:t>
      </w:r>
    </w:p>
    <w:p w14:paraId="084D9713">
      <w:pPr>
        <w:keepNext w:val="0"/>
        <w:keepLines w:val="0"/>
        <w:pageBreakBefore w:val="0"/>
        <w:widowControl w:val="0"/>
        <w:tabs>
          <w:tab w:val="left" w:pos="12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/>
          <w:color w:val="auto"/>
          <w:spacing w:val="0"/>
          <w:sz w:val="32"/>
          <w:highlight w:val="none"/>
        </w:rPr>
      </w:pPr>
      <w:r>
        <w:rPr>
          <w:rFonts w:hint="eastAsia" w:ascii="黑体" w:hAnsi="黑体" w:eastAsia="黑体"/>
          <w:b/>
          <w:bCs/>
          <w:color w:val="auto"/>
          <w:spacing w:val="0"/>
          <w:sz w:val="32"/>
          <w:highlight w:val="none"/>
        </w:rPr>
        <w:t>一</w:t>
      </w:r>
      <w:r>
        <w:rPr>
          <w:rFonts w:hint="eastAsia" w:ascii="黑体" w:hAnsi="黑体" w:eastAsia="黑体"/>
          <w:b/>
          <w:bCs/>
          <w:color w:val="auto"/>
          <w:spacing w:val="0"/>
          <w:sz w:val="32"/>
          <w:highlight w:val="none"/>
          <w:lang w:eastAsia="zh-CN"/>
        </w:rPr>
        <w:t>、</w:t>
      </w:r>
      <w:r>
        <w:rPr>
          <w:rFonts w:hint="eastAsia" w:ascii="黑体" w:hAnsi="黑体" w:eastAsia="黑体"/>
          <w:b/>
          <w:bCs/>
          <w:color w:val="auto"/>
          <w:spacing w:val="0"/>
          <w:sz w:val="32"/>
          <w:highlight w:val="none"/>
          <w:lang w:val="en-US" w:eastAsia="zh-CN"/>
        </w:rPr>
        <w:t>需求</w:t>
      </w:r>
      <w:r>
        <w:rPr>
          <w:rFonts w:hint="eastAsia" w:ascii="黑体" w:hAnsi="黑体" w:eastAsia="黑体"/>
          <w:b/>
          <w:bCs/>
          <w:color w:val="auto"/>
          <w:spacing w:val="0"/>
          <w:sz w:val="32"/>
          <w:highlight w:val="none"/>
        </w:rPr>
        <w:t>单位</w:t>
      </w:r>
    </w:p>
    <w:p w14:paraId="6D0A815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>华电伊宁市智慧能源有限公司</w:t>
      </w:r>
    </w:p>
    <w:p w14:paraId="77A715F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黑体" w:hAnsi="黑体" w:eastAsia="黑体"/>
          <w:b/>
          <w:bCs/>
          <w:color w:val="auto"/>
          <w:spacing w:val="0"/>
          <w:sz w:val="32"/>
          <w:highlight w:val="none"/>
          <w:lang w:val="en-US" w:eastAsia="zh-CN"/>
        </w:rPr>
      </w:pPr>
      <w:r>
        <w:rPr>
          <w:rFonts w:hint="eastAsia" w:ascii="黑体" w:hAnsi="黑体" w:eastAsia="黑体"/>
          <w:b/>
          <w:bCs/>
          <w:color w:val="auto"/>
          <w:spacing w:val="0"/>
          <w:sz w:val="32"/>
          <w:highlight w:val="none"/>
          <w:lang w:val="en-US" w:eastAsia="zh-CN"/>
        </w:rPr>
        <w:t>二、交货地点</w:t>
      </w:r>
    </w:p>
    <w:p w14:paraId="7DFA837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/>
          <w:b/>
          <w:bCs/>
          <w:color w:val="auto"/>
          <w:spacing w:val="0"/>
          <w:sz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>华电伊宁市智慧能源有限公司</w:t>
      </w:r>
      <w:r>
        <w:rPr>
          <w:rFonts w:hint="eastAsia" w:ascii="仿宋_GB2312" w:eastAsia="仿宋_GB2312"/>
          <w:color w:val="auto"/>
          <w:spacing w:val="0"/>
          <w:sz w:val="32"/>
          <w:szCs w:val="32"/>
          <w:highlight w:val="none"/>
          <w:lang w:val="en-US" w:eastAsia="zh-CN"/>
        </w:rPr>
        <w:t>指定煤场</w:t>
      </w:r>
    </w:p>
    <w:p w14:paraId="0EBC272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黑体" w:hAnsi="黑体" w:eastAsia="黑体"/>
          <w:b/>
          <w:bCs/>
          <w:color w:val="auto"/>
          <w:spacing w:val="0"/>
          <w:sz w:val="32"/>
          <w:highlight w:val="none"/>
          <w:lang w:val="en-US"/>
        </w:rPr>
      </w:pPr>
      <w:r>
        <w:rPr>
          <w:rFonts w:hint="eastAsia" w:ascii="黑体" w:hAnsi="黑体" w:eastAsia="黑体"/>
          <w:b/>
          <w:bCs/>
          <w:color w:val="auto"/>
          <w:spacing w:val="0"/>
          <w:sz w:val="32"/>
          <w:highlight w:val="none"/>
          <w:lang w:val="en-US" w:eastAsia="zh-CN"/>
        </w:rPr>
        <w:t>三、运输要求</w:t>
      </w:r>
    </w:p>
    <w:tbl>
      <w:tblPr>
        <w:tblStyle w:val="12"/>
        <w:tblW w:w="86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448"/>
        <w:gridCol w:w="1448"/>
        <w:gridCol w:w="1918"/>
        <w:gridCol w:w="2360"/>
      </w:tblGrid>
      <w:tr w14:paraId="5CEB2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AC46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电厂名称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5E6C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煤矿名称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6284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运输方式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6F89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运输采购数量（万吨）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C068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车型要求</w:t>
            </w:r>
          </w:p>
        </w:tc>
      </w:tr>
      <w:tr w14:paraId="33361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DE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7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伊宁能源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公司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C500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伊泰煤矿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5A24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汽车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90EB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7B8C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1、无卸车费用。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2、100%新能源车型。</w:t>
            </w:r>
            <w:bookmarkStart w:id="0" w:name="_GoBack"/>
            <w:bookmarkEnd w:id="0"/>
          </w:p>
        </w:tc>
      </w:tr>
    </w:tbl>
    <w:p w14:paraId="10B66936">
      <w:pPr>
        <w:keepNext w:val="0"/>
        <w:keepLines w:val="0"/>
        <w:pageBreakBefore w:val="0"/>
        <w:widowControl w:val="0"/>
        <w:tabs>
          <w:tab w:val="left" w:pos="12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highlight w:val="none"/>
          <w:lang w:val="en-US" w:eastAsia="zh-CN"/>
        </w:rPr>
        <w:t>特别提示：</w:t>
      </w:r>
    </w:p>
    <w:p w14:paraId="3D981B5A">
      <w:pPr>
        <w:keepNext w:val="0"/>
        <w:keepLines w:val="0"/>
        <w:pageBreakBefore w:val="0"/>
        <w:widowControl w:val="0"/>
        <w:tabs>
          <w:tab w:val="left" w:pos="12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1.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highlight w:val="none"/>
          <w:lang w:val="en-US" w:eastAsia="zh-CN"/>
        </w:rPr>
        <w:t>公告采购量为暂定量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，具体调运数量以</w:t>
      </w:r>
      <w:r>
        <w:rPr>
          <w:rFonts w:hint="eastAsia" w:ascii="仿宋_GB2312" w:eastAsia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>伊宁能源</w:t>
      </w:r>
      <w:r>
        <w:rPr>
          <w:rFonts w:hint="eastAsia" w:ascii="仿宋_GB2312" w:eastAsia="仿宋_GB2312"/>
          <w:color w:val="auto"/>
          <w:spacing w:val="0"/>
          <w:sz w:val="32"/>
          <w:szCs w:val="32"/>
          <w:highlight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通知为准，中价供应商要严格执行</w:t>
      </w:r>
      <w:r>
        <w:rPr>
          <w:rFonts w:hint="eastAsia" w:ascii="仿宋_GB2312" w:eastAsia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>伊宁能源</w:t>
      </w:r>
      <w:r>
        <w:rPr>
          <w:rFonts w:hint="eastAsia" w:ascii="仿宋_GB2312" w:eastAsia="仿宋_GB2312"/>
          <w:color w:val="auto"/>
          <w:spacing w:val="0"/>
          <w:sz w:val="32"/>
          <w:szCs w:val="32"/>
          <w:highlight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的调运计划，日到达车辆低于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5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辆，电厂有权延迟接卸。</w:t>
      </w:r>
    </w:p>
    <w:p w14:paraId="391182C7">
      <w:pPr>
        <w:keepNext w:val="0"/>
        <w:keepLines w:val="0"/>
        <w:pageBreakBefore w:val="0"/>
        <w:widowControl w:val="0"/>
        <w:tabs>
          <w:tab w:val="left" w:pos="12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2.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每家供应商投标数量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必须为运输采购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总量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如有违反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  <w:t>，报价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无效。</w:t>
      </w:r>
    </w:p>
    <w:p w14:paraId="44874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3. 运输车辆必须符合国家及地方最新规定的排放标准，同时需满足清洁能源车辆运输占比≧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100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%，其中，电动重卡车辆运输占比≧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50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%。投标单位应充分考虑合同执行过程中的政策变化情况，如环保政策等，严格按照符合各项政策要求的车型安排运输车辆，如因政策要求必须使用新能源车辆，运输单位必须严格执行。</w:t>
      </w:r>
    </w:p>
    <w:p w14:paraId="2B8636A6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kern w:val="2"/>
          <w:sz w:val="32"/>
          <w:szCs w:val="32"/>
        </w:rPr>
      </w:pPr>
      <w:r>
        <w:rPr>
          <w:rFonts w:hint="eastAsia" w:ascii="仿宋_GB2312" w:hAnsi="仿宋_GB2312" w:eastAsia="仿宋_GB2312"/>
          <w:bCs/>
          <w:color w:val="auto"/>
          <w:spacing w:val="0"/>
          <w:sz w:val="32"/>
          <w:szCs w:val="32"/>
          <w:highlight w:val="none"/>
          <w:lang w:val="en-US" w:eastAsia="zh-CN"/>
        </w:rPr>
        <w:t xml:space="preserve">4.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highlight w:val="none"/>
        </w:rPr>
        <w:t>运输途损超出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highlight w:val="none"/>
        </w:rPr>
        <w:t>‰部分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kern w:val="2"/>
          <w:sz w:val="32"/>
          <w:szCs w:val="32"/>
          <w:highlight w:val="none"/>
        </w:rPr>
        <w:t>由</w:t>
      </w:r>
      <w:r>
        <w:rPr>
          <w:rFonts w:ascii="仿宋" w:hAnsi="仿宋" w:eastAsia="仿宋" w:cs="仿宋"/>
          <w:b w:val="0"/>
          <w:bCs/>
          <w:spacing w:val="0"/>
          <w:sz w:val="32"/>
          <w:szCs w:val="32"/>
          <w:highlight w:val="none"/>
        </w:rPr>
        <w:t>供应商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kern w:val="2"/>
          <w:sz w:val="32"/>
          <w:szCs w:val="32"/>
          <w:highlight w:val="none"/>
        </w:rPr>
        <w:t>承担，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在运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kern w:val="2"/>
          <w:sz w:val="32"/>
          <w:szCs w:val="32"/>
          <w:lang w:val="en-US" w:eastAsia="zh-CN"/>
        </w:rPr>
        <w:t>费结算中扣除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kern w:val="2"/>
          <w:sz w:val="32"/>
          <w:szCs w:val="32"/>
        </w:rPr>
        <w:t>超出部分途损费用（当期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kern w:val="2"/>
          <w:sz w:val="32"/>
          <w:szCs w:val="32"/>
          <w:lang w:val="en-US" w:eastAsia="zh-CN"/>
        </w:rPr>
        <w:t>各单位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kern w:val="2"/>
          <w:sz w:val="32"/>
          <w:szCs w:val="32"/>
        </w:rPr>
        <w:t>签订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kern w:val="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pacing w:val="0"/>
          <w:kern w:val="2"/>
          <w:sz w:val="32"/>
          <w:szCs w:val="32"/>
          <w:lang w:val="en-US" w:eastAsia="zh-CN"/>
        </w:rPr>
        <w:t>当月结算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pacing w:val="0"/>
          <w:kern w:val="2"/>
          <w:sz w:val="32"/>
          <w:szCs w:val="32"/>
        </w:rPr>
        <w:t>煤价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kern w:val="2"/>
          <w:sz w:val="32"/>
          <w:szCs w:val="32"/>
        </w:rPr>
        <w:t>*超出途损数量）。</w:t>
      </w:r>
    </w:p>
    <w:p w14:paraId="02BF20C9">
      <w:pPr>
        <w:keepNext w:val="0"/>
        <w:keepLines w:val="0"/>
        <w:pageBreakBefore w:val="0"/>
        <w:widowControl w:val="0"/>
        <w:tabs>
          <w:tab w:val="left" w:pos="12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5. 其他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 w:color="auto"/>
          <w:vertAlign w:val="baseline"/>
          <w:lang w:val="en-US" w:eastAsia="zh-CN"/>
        </w:rPr>
        <w:t>具体条款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详见合同范本。</w:t>
      </w:r>
    </w:p>
    <w:p w14:paraId="5B32468A">
      <w:pPr>
        <w:keepNext w:val="0"/>
        <w:keepLines w:val="0"/>
        <w:pageBreakBefore w:val="0"/>
        <w:widowControl w:val="0"/>
        <w:tabs>
          <w:tab w:val="left" w:pos="12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黑体" w:hAnsi="黑体" w:eastAsia="黑体"/>
          <w:b/>
          <w:bCs/>
          <w:color w:val="auto"/>
          <w:spacing w:val="0"/>
          <w:sz w:val="32"/>
          <w:highlight w:val="none"/>
          <w:lang w:val="en-US"/>
        </w:rPr>
      </w:pPr>
      <w:r>
        <w:rPr>
          <w:rFonts w:hint="eastAsia" w:ascii="黑体" w:hAnsi="黑体" w:eastAsia="黑体"/>
          <w:b/>
          <w:bCs/>
          <w:color w:val="auto"/>
          <w:spacing w:val="0"/>
          <w:sz w:val="32"/>
          <w:highlight w:val="none"/>
          <w:lang w:val="en-US" w:eastAsia="zh-CN"/>
        </w:rPr>
        <w:t>四、</w:t>
      </w:r>
      <w:r>
        <w:rPr>
          <w:rFonts w:hint="eastAsia" w:ascii="黑体" w:hAnsi="黑体" w:eastAsia="黑体"/>
          <w:b/>
          <w:bCs/>
          <w:color w:val="auto"/>
          <w:spacing w:val="0"/>
          <w:sz w:val="32"/>
          <w:highlight w:val="none"/>
          <w:lang w:val="en-US"/>
        </w:rPr>
        <w:t>合同</w:t>
      </w:r>
      <w:r>
        <w:rPr>
          <w:rFonts w:hint="eastAsia" w:ascii="黑体" w:hAnsi="黑体" w:eastAsia="黑体"/>
          <w:b/>
          <w:bCs/>
          <w:color w:val="auto"/>
          <w:spacing w:val="0"/>
          <w:sz w:val="32"/>
          <w:highlight w:val="none"/>
          <w:lang w:val="en-US" w:eastAsia="zh-CN"/>
        </w:rPr>
        <w:t>执行</w:t>
      </w:r>
      <w:r>
        <w:rPr>
          <w:rFonts w:hint="eastAsia" w:ascii="黑体" w:hAnsi="黑体" w:eastAsia="黑体"/>
          <w:b/>
          <w:bCs/>
          <w:color w:val="auto"/>
          <w:spacing w:val="0"/>
          <w:sz w:val="32"/>
          <w:highlight w:val="none"/>
          <w:lang w:val="en-US"/>
        </w:rPr>
        <w:t>时间</w:t>
      </w:r>
    </w:p>
    <w:p w14:paraId="247C5B0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spacing w:val="0"/>
          <w:sz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合同执行期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</w:rPr>
        <w:t>合同签订日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highlight w:val="none"/>
          <w:lang w:val="en-US" w:eastAsia="zh-CN"/>
        </w:rPr>
        <w:t>至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highlight w:val="none"/>
          <w:u w:val="single"/>
          <w:lang w:val="en-US" w:eastAsia="zh-CN"/>
        </w:rPr>
        <w:t>2025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highlight w:val="none"/>
        </w:rPr>
        <w:t>年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highlight w:val="none"/>
          <w:u w:val="single"/>
          <w:lang w:val="en-US" w:eastAsia="zh-CN"/>
        </w:rPr>
        <w:t>12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highlight w:val="none"/>
        </w:rPr>
        <w:t>月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highlight w:val="none"/>
          <w:u w:val="single"/>
          <w:lang w:val="en-US" w:eastAsia="zh-CN"/>
        </w:rPr>
        <w:t>31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highlight w:val="none"/>
        </w:rPr>
        <w:t>日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highlight w:val="none"/>
          <w:lang w:eastAsia="zh-CN"/>
        </w:rPr>
        <w:t>。</w:t>
      </w:r>
    </w:p>
    <w:p w14:paraId="477D0DFF">
      <w:pPr>
        <w:keepNext w:val="0"/>
        <w:keepLines w:val="0"/>
        <w:pageBreakBefore w:val="0"/>
        <w:widowControl w:val="0"/>
        <w:tabs>
          <w:tab w:val="left" w:pos="12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黑体" w:hAnsi="黑体" w:eastAsia="黑体"/>
          <w:b/>
          <w:bCs/>
          <w:color w:val="auto"/>
          <w:spacing w:val="0"/>
          <w:sz w:val="32"/>
          <w:highlight w:val="none"/>
          <w:lang w:val="en-US"/>
        </w:rPr>
      </w:pPr>
      <w:r>
        <w:rPr>
          <w:rFonts w:hint="eastAsia" w:ascii="黑体" w:hAnsi="黑体" w:eastAsia="黑体"/>
          <w:b/>
          <w:bCs/>
          <w:color w:val="auto"/>
          <w:spacing w:val="0"/>
          <w:sz w:val="32"/>
          <w:highlight w:val="none"/>
          <w:lang w:val="en-US" w:eastAsia="zh-CN"/>
        </w:rPr>
        <w:t>五、</w:t>
      </w:r>
      <w:r>
        <w:rPr>
          <w:rFonts w:hint="eastAsia" w:ascii="黑体" w:hAnsi="黑体" w:eastAsia="黑体"/>
          <w:b/>
          <w:bCs/>
          <w:color w:val="auto"/>
          <w:spacing w:val="0"/>
          <w:sz w:val="32"/>
          <w:highlight w:val="none"/>
          <w:lang w:val="en-US"/>
        </w:rPr>
        <w:t>竞价时间</w:t>
      </w:r>
    </w:p>
    <w:p w14:paraId="58CAC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pacing w:val="0"/>
          <w:sz w:val="32"/>
          <w:highlight w:val="none"/>
        </w:rPr>
      </w:pP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竞价截止时间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eastAsia="zh-CN"/>
        </w:rPr>
        <w:t>以竞价平台发布的时间为准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。</w:t>
      </w:r>
    </w:p>
    <w:p w14:paraId="58EE41F3">
      <w:pPr>
        <w:keepNext w:val="0"/>
        <w:keepLines w:val="0"/>
        <w:pageBreakBefore w:val="0"/>
        <w:widowControl w:val="0"/>
        <w:tabs>
          <w:tab w:val="left" w:pos="12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黑体" w:hAnsi="黑体" w:eastAsia="黑体"/>
          <w:b/>
          <w:bCs/>
          <w:color w:val="auto"/>
          <w:spacing w:val="0"/>
          <w:sz w:val="32"/>
          <w:highlight w:val="none"/>
          <w:lang w:val="en-US"/>
        </w:rPr>
      </w:pPr>
      <w:r>
        <w:rPr>
          <w:rFonts w:hint="eastAsia" w:ascii="黑体" w:hAnsi="黑体" w:eastAsia="黑体"/>
          <w:b/>
          <w:bCs/>
          <w:color w:val="auto"/>
          <w:spacing w:val="0"/>
          <w:sz w:val="32"/>
          <w:highlight w:val="none"/>
          <w:lang w:val="en-US" w:eastAsia="zh-CN"/>
        </w:rPr>
        <w:t>六、</w:t>
      </w:r>
      <w:r>
        <w:rPr>
          <w:rFonts w:hint="eastAsia" w:ascii="黑体" w:hAnsi="黑体" w:eastAsia="黑体"/>
          <w:b/>
          <w:bCs/>
          <w:color w:val="auto"/>
          <w:spacing w:val="0"/>
          <w:sz w:val="32"/>
          <w:highlight w:val="none"/>
          <w:lang w:val="en-US"/>
        </w:rPr>
        <w:t>竞价供应商资格</w:t>
      </w:r>
    </w:p>
    <w:p w14:paraId="1FB03BE2">
      <w:pPr>
        <w:keepNext w:val="0"/>
        <w:keepLines w:val="0"/>
        <w:pageBreakBefore w:val="0"/>
        <w:widowControl w:val="0"/>
        <w:tabs>
          <w:tab w:val="left" w:pos="12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/>
          <w:b/>
          <w:bCs/>
          <w:color w:val="auto"/>
          <w:spacing w:val="0"/>
          <w:sz w:val="32"/>
          <w:highlight w:val="none"/>
          <w:lang w:val="en-US" w:eastAsia="zh-CN"/>
        </w:rPr>
      </w:pPr>
      <w:r>
        <w:rPr>
          <w:rFonts w:hint="eastAsia" w:ascii="仿宋_GB2312" w:eastAsia="仿宋_GB2312" w:cstheme="minorBidi"/>
          <w:color w:val="auto"/>
          <w:spacing w:val="0"/>
          <w:kern w:val="2"/>
          <w:sz w:val="32"/>
          <w:szCs w:val="24"/>
          <w:highlight w:val="none"/>
          <w:lang w:val="en-US" w:eastAsia="zh-CN" w:bidi="ar-SA"/>
        </w:rPr>
        <w:t xml:space="preserve">1.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highlight w:val="none"/>
          <w:lang w:val="en-US" w:eastAsia="zh-CN"/>
        </w:rPr>
        <w:t>参与报价的供应商视为认可并遵守本电煤竞价规则。</w:t>
      </w:r>
    </w:p>
    <w:p w14:paraId="4660636D">
      <w:pPr>
        <w:pStyle w:val="14"/>
        <w:keepNext w:val="0"/>
        <w:keepLines w:val="0"/>
        <w:pageBreakBefore w:val="0"/>
        <w:widowControl w:val="0"/>
        <w:tabs>
          <w:tab w:val="left" w:pos="1740"/>
          <w:tab w:val="left" w:pos="174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hAnsiTheme="minorHAnsi" w:cstheme="minorBidi"/>
          <w:color w:val="auto"/>
          <w:spacing w:val="0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eastAsia="仿宋_GB2312" w:cstheme="minorBidi"/>
          <w:color w:val="auto"/>
          <w:spacing w:val="0"/>
          <w:kern w:val="2"/>
          <w:sz w:val="32"/>
          <w:szCs w:val="24"/>
          <w:highlight w:val="none"/>
          <w:lang w:val="en-US" w:eastAsia="zh-CN" w:bidi="ar-SA"/>
        </w:rPr>
        <w:t xml:space="preserve">2. </w:t>
      </w:r>
      <w:r>
        <w:rPr>
          <w:rFonts w:hint="eastAsia" w:ascii="仿宋_GB2312" w:eastAsia="仿宋_GB2312" w:hAnsiTheme="minorHAnsi" w:cstheme="minorBidi"/>
          <w:color w:val="auto"/>
          <w:spacing w:val="0"/>
          <w:kern w:val="2"/>
          <w:sz w:val="32"/>
          <w:szCs w:val="24"/>
          <w:highlight w:val="none"/>
          <w:lang w:val="en-US" w:eastAsia="zh-CN" w:bidi="ar-SA"/>
        </w:rPr>
        <w:t>三证齐全（营业执照、银行许可证、法人代表身份证）且</w:t>
      </w:r>
      <w:r>
        <w:rPr>
          <w:rFonts w:hint="default" w:ascii="仿宋_GB2312" w:eastAsia="仿宋_GB2312" w:hAnsiTheme="minorHAnsi" w:cstheme="minorBidi"/>
          <w:color w:val="auto"/>
          <w:spacing w:val="0"/>
          <w:kern w:val="2"/>
          <w:sz w:val="32"/>
          <w:szCs w:val="24"/>
          <w:highlight w:val="none"/>
          <w:lang w:val="en-US" w:eastAsia="zh-CN" w:bidi="ar-SA"/>
        </w:rPr>
        <w:t>具备合格</w:t>
      </w:r>
      <w:r>
        <w:rPr>
          <w:rFonts w:hint="eastAsia" w:ascii="仿宋_GB2312" w:eastAsia="仿宋_GB2312" w:hAnsiTheme="minorHAnsi" w:cstheme="minorBidi"/>
          <w:color w:val="auto"/>
          <w:spacing w:val="0"/>
          <w:kern w:val="2"/>
          <w:sz w:val="32"/>
          <w:szCs w:val="24"/>
          <w:highlight w:val="none"/>
          <w:lang w:val="en-US" w:eastAsia="zh-CN" w:bidi="ar-SA"/>
        </w:rPr>
        <w:t>的煤炭</w:t>
      </w:r>
      <w:r>
        <w:rPr>
          <w:rFonts w:hint="eastAsia" w:ascii="仿宋_GB2312" w:eastAsia="仿宋_GB2312" w:cstheme="minorBidi"/>
          <w:color w:val="auto"/>
          <w:spacing w:val="0"/>
          <w:kern w:val="2"/>
          <w:sz w:val="32"/>
          <w:szCs w:val="24"/>
          <w:highlight w:val="none"/>
          <w:lang w:val="en-US" w:eastAsia="zh-CN" w:bidi="ar-SA"/>
        </w:rPr>
        <w:t>运输</w:t>
      </w:r>
      <w:r>
        <w:rPr>
          <w:rFonts w:hint="default" w:ascii="仿宋_GB2312" w:eastAsia="仿宋_GB2312" w:hAnsiTheme="minorHAnsi" w:cstheme="minorBidi"/>
          <w:color w:val="auto"/>
          <w:spacing w:val="0"/>
          <w:kern w:val="2"/>
          <w:sz w:val="32"/>
          <w:szCs w:val="24"/>
          <w:highlight w:val="none"/>
          <w:lang w:val="en-US" w:eastAsia="zh-CN" w:bidi="ar-SA"/>
        </w:rPr>
        <w:t>资质</w:t>
      </w:r>
      <w:r>
        <w:rPr>
          <w:rFonts w:hint="eastAsia" w:ascii="仿宋_GB2312" w:eastAsia="仿宋_GB2312" w:cstheme="minorBidi"/>
          <w:color w:val="auto"/>
          <w:spacing w:val="0"/>
          <w:kern w:val="2"/>
          <w:sz w:val="32"/>
          <w:szCs w:val="24"/>
          <w:highlight w:val="none"/>
          <w:lang w:val="en-US" w:eastAsia="zh-CN" w:bidi="ar-SA"/>
        </w:rPr>
        <w:t>的</w:t>
      </w:r>
      <w:r>
        <w:rPr>
          <w:rFonts w:hint="eastAsia" w:ascii="仿宋_GB2312" w:eastAsia="仿宋_GB2312" w:hAnsiTheme="minorHAnsi" w:cstheme="minorBidi"/>
          <w:color w:val="auto"/>
          <w:spacing w:val="0"/>
          <w:kern w:val="2"/>
          <w:sz w:val="32"/>
          <w:szCs w:val="24"/>
          <w:highlight w:val="none"/>
          <w:lang w:val="en-US" w:eastAsia="zh-CN" w:bidi="ar-SA"/>
        </w:rPr>
        <w:t>企业，在</w:t>
      </w:r>
      <w:r>
        <w:rPr>
          <w:rFonts w:hint="eastAsia" w:ascii="仿宋_GB2312" w:eastAsia="仿宋_GB2312" w:cstheme="minorBidi"/>
          <w:color w:val="auto"/>
          <w:spacing w:val="0"/>
          <w:kern w:val="2"/>
          <w:sz w:val="32"/>
          <w:szCs w:val="24"/>
          <w:highlight w:val="none"/>
          <w:lang w:val="en-US" w:eastAsia="zh-CN" w:bidi="ar-SA"/>
        </w:rPr>
        <w:t>华电</w:t>
      </w:r>
      <w:r>
        <w:rPr>
          <w:rFonts w:eastAsia="仿宋_GB2312"/>
          <w:bCs/>
          <w:color w:val="auto"/>
          <w:spacing w:val="0"/>
          <w:sz w:val="32"/>
          <w:szCs w:val="32"/>
          <w:highlight w:val="none"/>
        </w:rPr>
        <w:t>集团公司</w:t>
      </w:r>
      <w:r>
        <w:rPr>
          <w:rFonts w:hint="eastAsia" w:eastAsia="仿宋_GB2312"/>
          <w:bCs/>
          <w:color w:val="auto"/>
          <w:spacing w:val="0"/>
          <w:sz w:val="32"/>
          <w:szCs w:val="32"/>
          <w:highlight w:val="none"/>
        </w:rPr>
        <w:t>电煤竞价平台</w:t>
      </w:r>
      <w:r>
        <w:rPr>
          <w:rFonts w:hint="eastAsia" w:ascii="仿宋_GB2312" w:eastAsia="仿宋_GB2312" w:hAnsiTheme="minorHAnsi" w:cstheme="minorBidi"/>
          <w:color w:val="auto"/>
          <w:spacing w:val="0"/>
          <w:kern w:val="2"/>
          <w:sz w:val="32"/>
          <w:szCs w:val="24"/>
          <w:highlight w:val="none"/>
          <w:lang w:val="en-US" w:eastAsia="zh-CN" w:bidi="ar-SA"/>
        </w:rPr>
        <w:t>注册审核通过的供应商。</w:t>
      </w:r>
    </w:p>
    <w:p w14:paraId="7CE1AE43">
      <w:pPr>
        <w:keepNext w:val="0"/>
        <w:keepLines w:val="0"/>
        <w:pageBreakBefore w:val="0"/>
        <w:widowControl w:val="0"/>
        <w:tabs>
          <w:tab w:val="left" w:pos="12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黑体" w:hAnsi="黑体" w:eastAsia="黑体"/>
          <w:b/>
          <w:bCs/>
          <w:color w:val="auto"/>
          <w:spacing w:val="0"/>
          <w:sz w:val="32"/>
          <w:highlight w:val="none"/>
          <w:lang w:val="en-US"/>
        </w:rPr>
      </w:pPr>
      <w:r>
        <w:rPr>
          <w:rFonts w:hint="eastAsia" w:ascii="黑体" w:hAnsi="黑体" w:eastAsia="黑体"/>
          <w:b/>
          <w:bCs/>
          <w:color w:val="auto"/>
          <w:spacing w:val="0"/>
          <w:sz w:val="32"/>
          <w:highlight w:val="none"/>
          <w:lang w:val="en-US" w:eastAsia="zh-CN"/>
        </w:rPr>
        <w:t>七、</w:t>
      </w:r>
      <w:r>
        <w:rPr>
          <w:rFonts w:hint="eastAsia" w:ascii="黑体" w:hAnsi="黑体" w:eastAsia="黑体"/>
          <w:b/>
          <w:bCs/>
          <w:color w:val="auto"/>
          <w:spacing w:val="0"/>
          <w:sz w:val="32"/>
          <w:highlight w:val="none"/>
          <w:lang w:val="en-US"/>
        </w:rPr>
        <w:t>竞价规则</w:t>
      </w:r>
    </w:p>
    <w:p w14:paraId="071506BF">
      <w:pPr>
        <w:keepNext w:val="0"/>
        <w:keepLines w:val="0"/>
        <w:pageBreakBefore w:val="0"/>
        <w:widowControl w:val="0"/>
        <w:tabs>
          <w:tab w:val="left" w:pos="12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pacing w:val="0"/>
          <w:sz w:val="32"/>
          <w:highlight w:val="none"/>
          <w:lang w:val="en-US"/>
        </w:rPr>
      </w:pP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/>
        </w:rPr>
        <w:t>（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一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/>
        </w:rPr>
        <w:t>）</w:t>
      </w:r>
      <w:r>
        <w:rPr>
          <w:rFonts w:hint="eastAsia" w:ascii="仿宋_GB2312" w:eastAsia="仿宋_GB2312"/>
          <w:bCs/>
          <w:color w:val="auto"/>
          <w:spacing w:val="0"/>
          <w:sz w:val="32"/>
          <w:szCs w:val="32"/>
          <w:highlight w:val="none"/>
          <w:shd w:val="clear"/>
          <w:lang w:val="en-US"/>
        </w:rPr>
        <w:t>2</w:t>
      </w:r>
      <w:r>
        <w:rPr>
          <w:rFonts w:ascii="仿宋_GB2312" w:eastAsia="仿宋_GB2312"/>
          <w:bCs/>
          <w:color w:val="auto"/>
          <w:spacing w:val="0"/>
          <w:sz w:val="32"/>
          <w:szCs w:val="32"/>
          <w:highlight w:val="none"/>
          <w:shd w:val="clear"/>
          <w:lang w:val="en-US"/>
        </w:rPr>
        <w:t>0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u w:val="single"/>
          <w:shd w:val="clear"/>
          <w:lang w:val="en-US" w:eastAsia="zh-CN"/>
        </w:rPr>
        <w:t>25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shd w:val="clear"/>
          <w:lang w:val="en-US"/>
        </w:rPr>
        <w:t>年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u w:val="single"/>
          <w:shd w:val="clear"/>
          <w:lang w:val="en-US" w:eastAsia="zh-CN"/>
        </w:rPr>
        <w:t>10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shd w:val="clear"/>
          <w:lang w:val="en-US" w:eastAsia="zh-CN"/>
        </w:rPr>
        <w:t>月-</w:t>
      </w:r>
      <w:r>
        <w:rPr>
          <w:rFonts w:hint="eastAsia" w:ascii="仿宋_GB2312" w:eastAsia="仿宋_GB2312"/>
          <w:bCs/>
          <w:color w:val="auto"/>
          <w:spacing w:val="0"/>
          <w:sz w:val="32"/>
          <w:szCs w:val="32"/>
          <w:highlight w:val="none"/>
          <w:shd w:val="clear"/>
          <w:lang w:val="en-US"/>
        </w:rPr>
        <w:t>2</w:t>
      </w:r>
      <w:r>
        <w:rPr>
          <w:rFonts w:ascii="仿宋_GB2312" w:eastAsia="仿宋_GB2312"/>
          <w:bCs/>
          <w:color w:val="auto"/>
          <w:spacing w:val="0"/>
          <w:sz w:val="32"/>
          <w:szCs w:val="32"/>
          <w:highlight w:val="none"/>
          <w:shd w:val="clear"/>
          <w:lang w:val="en-US"/>
        </w:rPr>
        <w:t>0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u w:val="single"/>
          <w:shd w:val="clear"/>
          <w:lang w:val="en-US" w:eastAsia="zh-CN"/>
        </w:rPr>
        <w:t>25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shd w:val="clear"/>
          <w:lang w:val="en-US"/>
        </w:rPr>
        <w:t>年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u w:val="single"/>
          <w:shd w:val="clear"/>
          <w:lang w:val="en-US" w:eastAsia="zh-CN"/>
        </w:rPr>
        <w:t>12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shd w:val="clear"/>
          <w:lang w:val="en-US" w:eastAsia="zh-CN"/>
        </w:rPr>
        <w:t>月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u w:val="single"/>
          <w:shd w:val="clear"/>
          <w:lang w:val="en-US" w:eastAsia="zh-CN"/>
        </w:rPr>
        <w:t>伊泰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shd w:val="clear"/>
          <w:lang w:val="en-US" w:eastAsia="zh-CN"/>
        </w:rPr>
        <w:t>煤矿</w:t>
      </w:r>
      <w:r>
        <w:rPr>
          <w:rFonts w:hint="eastAsia" w:ascii="仿宋_GB2312" w:hAnsi="仿宋_GB2312" w:eastAsia="仿宋_GB2312"/>
          <w:bCs/>
          <w:spacing w:val="0"/>
          <w:sz w:val="32"/>
          <w:szCs w:val="32"/>
          <w:u w:val="single"/>
          <w:lang w:val="en-US" w:eastAsia="zh-CN"/>
        </w:rPr>
        <w:t>汽车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shd w:val="clear"/>
          <w:lang w:val="en-US" w:eastAsia="zh-CN"/>
        </w:rPr>
        <w:t>运输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/>
        </w:rPr>
        <w:t>竞价采用线上竞价方式。在燃煤竞价平台注册的供应商均可参与此竞价报价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，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/>
        </w:rPr>
        <w:t>在规定时间内需通过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中国华电集团有限公司电煤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/>
        </w:rPr>
        <w:t>竞价平台（http://hdjj.chd.com.cn）进行报价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，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/>
        </w:rPr>
        <w:t>在本次竞价截止后报价视为无效。本次报价不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接受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/>
        </w:rPr>
        <w:t>线下方式报价，不接受供应商口头报价（或口头修改价格）。</w:t>
      </w:r>
    </w:p>
    <w:p w14:paraId="111D6C36">
      <w:pPr>
        <w:keepNext w:val="0"/>
        <w:keepLines w:val="0"/>
        <w:pageBreakBefore w:val="0"/>
        <w:widowControl w:val="0"/>
        <w:tabs>
          <w:tab w:val="left" w:pos="12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pacing w:val="0"/>
          <w:sz w:val="32"/>
          <w:highlight w:val="none"/>
        </w:rPr>
      </w:pP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（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二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）</w:t>
      </w:r>
      <w:r>
        <w:rPr>
          <w:rFonts w:hint="eastAsia" w:ascii="仿宋_GB2312" w:eastAsia="仿宋_GB2312" w:hAnsiTheme="minorHAnsi" w:cstheme="minorBidi"/>
          <w:color w:val="auto"/>
          <w:spacing w:val="0"/>
          <w:sz w:val="32"/>
          <w:szCs w:val="24"/>
          <w:highlight w:val="none"/>
        </w:rPr>
        <w:t>参与煤业物资公司燃煤竞价的供应商，在报价截止前必须将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spacing w:val="0"/>
          <w:sz w:val="32"/>
          <w:szCs w:val="24"/>
          <w:highlight w:val="none"/>
        </w:rPr>
        <w:t>5万元</w:t>
      </w:r>
      <w:r>
        <w:rPr>
          <w:rFonts w:hint="eastAsia" w:ascii="仿宋_GB2312" w:eastAsia="仿宋_GB2312" w:hAnsiTheme="minorHAnsi" w:cstheme="minorBidi"/>
          <w:color w:val="auto"/>
          <w:spacing w:val="0"/>
          <w:sz w:val="32"/>
          <w:szCs w:val="24"/>
          <w:highlight w:val="none"/>
        </w:rPr>
        <w:t>竞价保证金通过转账的方式交至煤业物资公司，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且缴纳单位与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参与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竞价单位保持一致，</w:t>
      </w:r>
      <w:r>
        <w:rPr>
          <w:rFonts w:hint="eastAsia" w:ascii="仿宋_GB2312" w:eastAsia="仿宋_GB2312" w:hAnsiTheme="minorHAnsi" w:cstheme="minorBidi"/>
          <w:color w:val="auto"/>
          <w:spacing w:val="0"/>
          <w:sz w:val="32"/>
          <w:szCs w:val="24"/>
          <w:highlight w:val="none"/>
        </w:rPr>
        <w:t>并备注“公司名称+燃煤竞价保证金”，以煤业物资公司收到款项时间为准，报价截止前如供应商未按规定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eastAsia="zh-CN"/>
        </w:rPr>
        <w:t>足额</w:t>
      </w:r>
      <w:r>
        <w:rPr>
          <w:rFonts w:hint="eastAsia" w:ascii="仿宋_GB2312" w:eastAsia="仿宋_GB2312" w:hAnsiTheme="minorHAnsi" w:cstheme="minorBidi"/>
          <w:color w:val="auto"/>
          <w:spacing w:val="0"/>
          <w:sz w:val="32"/>
          <w:szCs w:val="24"/>
          <w:highlight w:val="none"/>
        </w:rPr>
        <w:t>缴纳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竞价</w:t>
      </w:r>
      <w:r>
        <w:rPr>
          <w:rFonts w:hint="eastAsia" w:ascii="仿宋_GB2312" w:eastAsia="仿宋_GB2312" w:hAnsiTheme="minorHAnsi" w:cstheme="minorBidi"/>
          <w:color w:val="auto"/>
          <w:spacing w:val="0"/>
          <w:sz w:val="32"/>
          <w:szCs w:val="24"/>
          <w:highlight w:val="none"/>
        </w:rPr>
        <w:t>保证金的，视为投标无效。</w:t>
      </w:r>
    </w:p>
    <w:p w14:paraId="7130126B">
      <w:pPr>
        <w:keepNext w:val="0"/>
        <w:keepLines w:val="0"/>
        <w:pageBreakBefore w:val="0"/>
        <w:widowControl w:val="0"/>
        <w:tabs>
          <w:tab w:val="left" w:pos="12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pacing w:val="0"/>
          <w:sz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pacing w:val="0"/>
          <w:sz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三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eastAsia="zh-CN"/>
        </w:rPr>
        <w:t>）报价截止后、未发中价通知书前，系统自动决标显示供应商为中价供应商，此时供应商申请撤销报价的申请有效，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但按照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spacing w:val="0"/>
          <w:sz w:val="32"/>
          <w:szCs w:val="24"/>
          <w:highlight w:val="none"/>
        </w:rPr>
        <w:t>中价后不按规定签订合同</w:t>
      </w:r>
      <w:r>
        <w:rPr>
          <w:rFonts w:hint="eastAsia" w:ascii="仿宋_GB2312" w:eastAsia="仿宋_GB2312" w:cstheme="minorBidi"/>
          <w:b w:val="0"/>
          <w:bCs w:val="0"/>
          <w:color w:val="auto"/>
          <w:spacing w:val="0"/>
          <w:sz w:val="32"/>
          <w:szCs w:val="24"/>
          <w:highlight w:val="none"/>
          <w:lang w:val="en-US" w:eastAsia="zh-CN"/>
        </w:rPr>
        <w:t>处理。</w:t>
      </w:r>
    </w:p>
    <w:p w14:paraId="17BA2EB1">
      <w:pPr>
        <w:wordWrap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pacing w:val="0"/>
          <w:sz w:val="32"/>
          <w:highlight w:val="none"/>
          <w:lang w:eastAsia="zh-CN"/>
        </w:rPr>
        <w:t>（四）</w:t>
      </w:r>
      <w:r>
        <w:rPr>
          <w:rFonts w:hint="eastAsia" w:ascii="仿宋_GB2312" w:hAnsi="仿宋_GB2312" w:eastAsia="仿宋_GB2312" w:cs="仿宋_GB2312"/>
          <w:bCs/>
          <w:color w:val="000000"/>
          <w:spacing w:val="0"/>
          <w:sz w:val="32"/>
          <w:szCs w:val="32"/>
          <w:highlight w:val="none"/>
          <w:lang w:val="en-US" w:eastAsia="zh-CN"/>
        </w:rPr>
        <w:t>参与报价的</w:t>
      </w:r>
      <w:r>
        <w:rPr>
          <w:rFonts w:hint="eastAsia" w:ascii="仿宋_GB2312" w:hAnsi="仿宋_GB2312" w:eastAsia="仿宋_GB2312" w:cs="仿宋_GB2312"/>
          <w:bCs/>
          <w:color w:val="000000"/>
          <w:spacing w:val="0"/>
          <w:sz w:val="32"/>
          <w:szCs w:val="32"/>
          <w:highlight w:val="none"/>
        </w:rPr>
        <w:t>供应商应根据自身能力，在报价时必须满足竞价有关要求，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报价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的吨煤运价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应已包括煤炭运输至交货地点的全部费用。</w:t>
      </w:r>
      <w:r>
        <w:rPr>
          <w:rFonts w:hint="eastAsia" w:ascii="仿宋_GB2312" w:hAnsi="仿宋_GB2312" w:eastAsia="仿宋_GB2312" w:cs="仿宋_GB2312"/>
          <w:bCs/>
          <w:color w:val="000000"/>
          <w:spacing w:val="0"/>
          <w:sz w:val="32"/>
          <w:szCs w:val="32"/>
          <w:highlight w:val="none"/>
        </w:rPr>
        <w:t>杜绝恶意虚报价格，若供应商在报价中</w:t>
      </w:r>
      <w:r>
        <w:rPr>
          <w:rFonts w:hint="eastAsia" w:ascii="仿宋_GB2312" w:hAnsi="仿宋_GB2312" w:eastAsia="仿宋_GB2312" w:cs="仿宋_GB2312"/>
          <w:bCs/>
          <w:color w:val="000000"/>
          <w:spacing w:val="0"/>
          <w:sz w:val="32"/>
          <w:szCs w:val="32"/>
          <w:highlight w:val="none"/>
          <w:lang w:val="en-US" w:eastAsia="zh-CN"/>
        </w:rPr>
        <w:t>价</w:t>
      </w:r>
      <w:r>
        <w:rPr>
          <w:rFonts w:hint="eastAsia" w:ascii="仿宋_GB2312" w:hAnsi="仿宋_GB2312" w:eastAsia="仿宋_GB2312" w:cs="仿宋_GB2312"/>
          <w:bCs/>
          <w:color w:val="000000"/>
          <w:spacing w:val="0"/>
          <w:sz w:val="32"/>
          <w:szCs w:val="32"/>
          <w:highlight w:val="none"/>
        </w:rPr>
        <w:t>后供应过程中无法满足合同有关要求，影响</w:t>
      </w:r>
      <w:r>
        <w:rPr>
          <w:rFonts w:hint="eastAsia" w:ascii="仿宋_GB2312" w:hAnsi="仿宋_GB2312" w:eastAsia="仿宋_GB2312" w:cs="仿宋_GB2312"/>
          <w:bCs/>
          <w:color w:val="000000"/>
          <w:spacing w:val="0"/>
          <w:sz w:val="32"/>
          <w:szCs w:val="32"/>
          <w:highlight w:val="none"/>
          <w:lang w:val="en-US" w:eastAsia="zh-CN"/>
        </w:rPr>
        <w:t>电厂</w:t>
      </w:r>
      <w:r>
        <w:rPr>
          <w:rFonts w:hint="eastAsia" w:ascii="仿宋_GB2312" w:hAnsi="仿宋_GB2312" w:eastAsia="仿宋_GB2312" w:cs="仿宋_GB2312"/>
          <w:bCs/>
          <w:color w:val="000000"/>
          <w:spacing w:val="0"/>
          <w:sz w:val="32"/>
          <w:szCs w:val="32"/>
          <w:highlight w:val="none"/>
        </w:rPr>
        <w:t>运量，按照合同规定进行考核。</w:t>
      </w:r>
    </w:p>
    <w:p w14:paraId="68A0CE87">
      <w:pPr>
        <w:keepNext w:val="0"/>
        <w:keepLines w:val="0"/>
        <w:pageBreakBefore w:val="0"/>
        <w:widowControl w:val="0"/>
        <w:tabs>
          <w:tab w:val="left" w:pos="12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pacing w:val="0"/>
          <w:sz w:val="32"/>
          <w:highlight w:val="none"/>
        </w:rPr>
      </w:pPr>
      <w:r>
        <w:rPr>
          <w:rFonts w:hint="eastAsia" w:ascii="仿宋_GB2312" w:eastAsia="仿宋_GB2312"/>
          <w:color w:val="auto"/>
          <w:spacing w:val="0"/>
          <w:sz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五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eastAsia="zh-CN"/>
        </w:rPr>
        <w:t>）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评价排序规则：同一标段中报价低者优先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价格相同时，以系统显示的报价时间在前的优先中价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。</w:t>
      </w:r>
    </w:p>
    <w:p w14:paraId="09D7085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pacing w:val="0"/>
          <w:sz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六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eastAsia="zh-CN"/>
        </w:rPr>
        <w:t>）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中价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单位确定后，竞价结果将以电子邮件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eastAsia="zh-CN"/>
        </w:rPr>
        <w:t>、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电话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eastAsia="zh-CN"/>
        </w:rPr>
        <w:t>、微信、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QQ等方式中的一种及时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通知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中价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竞价供应商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eastAsia="zh-CN"/>
        </w:rPr>
        <w:t>。</w:t>
      </w:r>
    </w:p>
    <w:p w14:paraId="3FB78A13">
      <w:pPr>
        <w:keepNext w:val="0"/>
        <w:keepLines w:val="0"/>
        <w:pageBreakBefore w:val="0"/>
        <w:widowControl w:val="0"/>
        <w:tabs>
          <w:tab w:val="left" w:pos="12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黑体" w:hAnsi="黑体" w:eastAsia="黑体"/>
          <w:b/>
          <w:bCs/>
          <w:color w:val="auto"/>
          <w:spacing w:val="0"/>
          <w:sz w:val="32"/>
          <w:highlight w:val="none"/>
          <w:lang w:val="en-US"/>
        </w:rPr>
      </w:pPr>
      <w:r>
        <w:rPr>
          <w:rFonts w:hint="eastAsia" w:ascii="黑体" w:hAnsi="黑体" w:eastAsia="黑体"/>
          <w:b/>
          <w:bCs/>
          <w:color w:val="auto"/>
          <w:spacing w:val="0"/>
          <w:sz w:val="32"/>
          <w:highlight w:val="none"/>
          <w:lang w:val="en-US" w:eastAsia="zh-CN"/>
        </w:rPr>
        <w:t>八、</w:t>
      </w:r>
      <w:r>
        <w:rPr>
          <w:rFonts w:hint="eastAsia" w:ascii="黑体" w:hAnsi="黑体" w:eastAsia="黑体"/>
          <w:b/>
          <w:bCs/>
          <w:color w:val="auto"/>
          <w:spacing w:val="0"/>
          <w:sz w:val="32"/>
          <w:highlight w:val="none"/>
          <w:lang w:val="en-US"/>
        </w:rPr>
        <w:t>保证金管理</w:t>
      </w:r>
    </w:p>
    <w:p w14:paraId="5C439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b/>
          <w:bCs/>
          <w:color w:val="auto"/>
          <w:spacing w:val="0"/>
          <w:sz w:val="32"/>
          <w:highlight w:val="none"/>
        </w:rPr>
      </w:pPr>
      <w:r>
        <w:rPr>
          <w:rFonts w:hint="eastAsia" w:ascii="仿宋_GB2312" w:eastAsia="仿宋_GB2312"/>
          <w:b/>
          <w:bCs/>
          <w:color w:val="auto"/>
          <w:spacing w:val="0"/>
          <w:sz w:val="32"/>
          <w:highlight w:val="none"/>
        </w:rPr>
        <w:t>（一）竞价保证金</w:t>
      </w:r>
    </w:p>
    <w:p w14:paraId="32B5C7FC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 竞价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保证金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5万元，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通过供应商开户银行电汇的方式进行缴纳。不接受其他形式缴纳的保证金，如银行保函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现金等，否则视为放弃报价权利。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供应商缴纳的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竞价保证金当年有效，不限投标次数及标段。</w:t>
      </w:r>
    </w:p>
    <w:p w14:paraId="4146AC6D"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竞价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保证金收取账户：</w:t>
      </w:r>
    </w:p>
    <w:p w14:paraId="22B3A0C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highlight w:val="none"/>
        </w:rPr>
        <w:t>收款单位名称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：新疆华电煤业物资有限公司</w:t>
      </w:r>
    </w:p>
    <w:p w14:paraId="3E54375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 xml:space="preserve">账    号：65001610200052506542 </w:t>
      </w:r>
    </w:p>
    <w:p w14:paraId="0D565EE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 xml:space="preserve">开户银行：中国建设银行股份有限公司乌鲁木齐人民路支行  </w:t>
      </w:r>
    </w:p>
    <w:p w14:paraId="6E5503D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0991-4882139</w:t>
      </w:r>
    </w:p>
    <w:p w14:paraId="695C9E37">
      <w:pPr>
        <w:autoSpaceDE w:val="0"/>
        <w:autoSpaceDN w:val="0"/>
        <w:spacing w:line="560" w:lineRule="exact"/>
        <w:ind w:firstLine="640" w:firstLineChars="200"/>
        <w:rPr>
          <w:rFonts w:hint="eastAsia" w:ascii="仿宋_GB2312" w:eastAsia="仿宋_GB2312"/>
          <w:b/>
          <w:bCs/>
          <w:color w:val="auto"/>
          <w:spacing w:val="0"/>
          <w:sz w:val="32"/>
          <w:highlight w:val="none"/>
        </w:rPr>
      </w:pPr>
      <w:r>
        <w:rPr>
          <w:rFonts w:hint="eastAsia" w:ascii="仿宋_GB2312" w:eastAsia="仿宋_GB2312"/>
          <w:color w:val="auto"/>
          <w:spacing w:val="0"/>
          <w:sz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eastAsia="zh-CN"/>
        </w:rPr>
        <w:t>）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各供应商必须使用报价单位（名称）相对应的银行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账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户进行“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竞价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保证金”的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缴纳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；若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缴纳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单位（名称）与报价单位（名称）不一致，或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eastAsia="zh-CN"/>
        </w:rPr>
        <w:t>个人账户转账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 xml:space="preserve">，均视为无效的“竞价保证金”。 </w:t>
      </w:r>
    </w:p>
    <w:p w14:paraId="2A782C03">
      <w:pPr>
        <w:autoSpaceDE w:val="0"/>
        <w:autoSpaceDN w:val="0"/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b w:val="0"/>
          <w:bCs w:val="0"/>
          <w:color w:val="auto"/>
          <w:spacing w:val="0"/>
          <w:sz w:val="32"/>
          <w:szCs w:val="24"/>
          <w:highlight w:val="none"/>
        </w:rPr>
      </w:pP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highlight w:val="none"/>
          <w:lang w:eastAsia="zh-CN"/>
        </w:rPr>
        <w:t>2</w:t>
      </w:r>
      <w:r>
        <w:rPr>
          <w:rFonts w:hint="eastAsia" w:ascii="仿宋_GB2312" w:eastAsia="仿宋_GB2312" w:cstheme="minorBidi"/>
          <w:b w:val="0"/>
          <w:bCs w:val="0"/>
          <w:color w:val="auto"/>
          <w:spacing w:val="0"/>
          <w:sz w:val="32"/>
          <w:szCs w:val="24"/>
          <w:highlight w:val="none"/>
          <w:lang w:val="en-US" w:eastAsia="zh-CN"/>
        </w:rPr>
        <w:t xml:space="preserve">. 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接到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中价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通知后3日内未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eastAsia="zh-CN"/>
        </w:rPr>
        <w:t>签订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煤炭买卖合同，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扣除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highlight w:val="none"/>
        </w:rPr>
        <w:t>竞价保证金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highlight w:val="none"/>
          <w:lang w:val="en-US" w:eastAsia="zh-CN"/>
        </w:rPr>
        <w:t>5万元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highlight w:val="none"/>
          <w:lang w:eastAsia="zh-CN"/>
        </w:rPr>
        <w:t>，并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spacing w:val="0"/>
          <w:kern w:val="2"/>
          <w:sz w:val="32"/>
          <w:szCs w:val="24"/>
          <w:highlight w:val="none"/>
        </w:rPr>
        <w:t>执行6个月惩戒期，惩戒期内不得与</w:t>
      </w:r>
      <w:r>
        <w:rPr>
          <w:rFonts w:hint="eastAsia" w:ascii="仿宋_GB2312" w:eastAsia="仿宋_GB2312" w:cstheme="minorBidi"/>
          <w:b w:val="0"/>
          <w:bCs w:val="0"/>
          <w:color w:val="auto"/>
          <w:spacing w:val="0"/>
          <w:kern w:val="2"/>
          <w:sz w:val="32"/>
          <w:szCs w:val="24"/>
          <w:highlight w:val="none"/>
          <w:lang w:val="en-US" w:eastAsia="zh-CN"/>
        </w:rPr>
        <w:t>华电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spacing w:val="0"/>
          <w:kern w:val="2"/>
          <w:sz w:val="32"/>
          <w:szCs w:val="24"/>
          <w:highlight w:val="none"/>
          <w:lang w:val="en-US" w:eastAsia="zh-CN"/>
        </w:rPr>
        <w:t>新疆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spacing w:val="0"/>
          <w:kern w:val="2"/>
          <w:sz w:val="32"/>
          <w:szCs w:val="24"/>
          <w:highlight w:val="none"/>
          <w:lang w:eastAsia="zh-CN"/>
        </w:rPr>
        <w:t>公司所属单位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spacing w:val="0"/>
          <w:kern w:val="2"/>
          <w:sz w:val="32"/>
          <w:szCs w:val="24"/>
          <w:highlight w:val="none"/>
        </w:rPr>
        <w:t>发生电煤采购业务</w:t>
      </w:r>
      <w:r>
        <w:rPr>
          <w:rFonts w:hint="eastAsia" w:ascii="仿宋_GB2312" w:eastAsia="仿宋_GB2312" w:cstheme="minorBidi"/>
          <w:b w:val="0"/>
          <w:bCs w:val="0"/>
          <w:color w:val="auto"/>
          <w:spacing w:val="0"/>
          <w:sz w:val="32"/>
          <w:szCs w:val="24"/>
          <w:highlight w:val="none"/>
          <w:lang w:val="en-US" w:eastAsia="zh-CN"/>
        </w:rPr>
        <w:t>。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spacing w:val="0"/>
          <w:kern w:val="2"/>
          <w:sz w:val="32"/>
          <w:szCs w:val="24"/>
          <w:highlight w:val="none"/>
          <w:lang w:val="en-US" w:eastAsia="zh-CN"/>
        </w:rPr>
        <w:t>一个自然年度内累计发生2次的，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spacing w:val="0"/>
          <w:kern w:val="2"/>
          <w:sz w:val="32"/>
          <w:szCs w:val="24"/>
          <w:highlight w:val="none"/>
        </w:rPr>
        <w:t>供应商永久退出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列入黑名单管理，不予重新办理准入手续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。如在同一批次或同一时间段内，放弃二个及以上的中价资格时，竞价保证金只扣除一次。</w:t>
      </w:r>
    </w:p>
    <w:p w14:paraId="1EBC4E25">
      <w:pPr>
        <w:tabs>
          <w:tab w:val="left" w:pos="1279"/>
        </w:tabs>
        <w:autoSpaceDE w:val="0"/>
        <w:autoSpaceDN w:val="0"/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b w:val="0"/>
          <w:bCs w:val="0"/>
          <w:color w:val="auto"/>
          <w:spacing w:val="0"/>
          <w:sz w:val="32"/>
          <w:szCs w:val="24"/>
          <w:highlight w:val="none"/>
        </w:rPr>
      </w:pPr>
      <w:r>
        <w:rPr>
          <w:rFonts w:hint="eastAsia" w:ascii="仿宋_GB2312" w:eastAsia="仿宋_GB2312" w:cstheme="minorBidi"/>
          <w:b w:val="0"/>
          <w:bCs w:val="0"/>
          <w:color w:val="auto"/>
          <w:spacing w:val="0"/>
          <w:sz w:val="32"/>
          <w:szCs w:val="24"/>
          <w:highlight w:val="none"/>
          <w:lang w:val="en-US" w:eastAsia="zh-CN"/>
        </w:rPr>
        <w:t xml:space="preserve">3.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spacing w:val="0"/>
          <w:sz w:val="32"/>
          <w:szCs w:val="24"/>
          <w:highlight w:val="none"/>
        </w:rPr>
        <w:t>供应商发生扣除保证金行为时，将向供应商发出扣除保证金的通知，经供应商确认后扣除保证金，供应商未在通知期限内确认的，在通知期限届满之日扣除保证金。</w:t>
      </w:r>
    </w:p>
    <w:p w14:paraId="0953A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pacing w:val="0"/>
          <w:sz w:val="32"/>
          <w:highlight w:val="none"/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auto"/>
          <w:spacing w:val="0"/>
          <w:sz w:val="32"/>
          <w:szCs w:val="24"/>
          <w:highlight w:val="none"/>
          <w:lang w:val="en-US" w:eastAsia="zh-CN"/>
        </w:rPr>
        <w:t>4.</w:t>
      </w:r>
      <w:r>
        <w:rPr>
          <w:rFonts w:hint="eastAsia" w:ascii="仿宋_GB2312" w:eastAsia="仿宋_GB2312" w:cstheme="minorBidi"/>
          <w:b w:val="0"/>
          <w:bCs w:val="0"/>
          <w:color w:val="auto"/>
          <w:spacing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竞价结束后，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竞价保证金自动转为参加下一次竞价的竞价保证金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决定不再参加后续竞价的供应商，可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向</w:t>
      </w:r>
      <w:r>
        <w:rPr>
          <w:rFonts w:hint="eastAsia" w:ascii="仿宋_GB2312" w:eastAsia="仿宋_GB2312" w:hAnsiTheme="minorHAnsi" w:cstheme="minorBidi"/>
          <w:b w:val="0"/>
          <w:color w:val="auto"/>
          <w:spacing w:val="0"/>
          <w:sz w:val="32"/>
          <w:szCs w:val="24"/>
          <w:highlight w:val="none"/>
        </w:rPr>
        <w:t>煤业物资公司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书面</w:t>
      </w:r>
      <w:r>
        <w:rPr>
          <w:rFonts w:hint="default" w:ascii="仿宋_GB2312" w:eastAsia="仿宋_GB2312"/>
          <w:color w:val="auto"/>
          <w:spacing w:val="0"/>
          <w:sz w:val="32"/>
          <w:highlight w:val="none"/>
          <w:lang w:val="en-US"/>
        </w:rPr>
        <w:t>申请办理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竞价</w:t>
      </w:r>
      <w:r>
        <w:rPr>
          <w:rFonts w:hint="default" w:ascii="仿宋_GB2312" w:eastAsia="仿宋_GB2312"/>
          <w:color w:val="auto"/>
          <w:spacing w:val="0"/>
          <w:sz w:val="32"/>
          <w:highlight w:val="none"/>
          <w:lang w:val="en-US"/>
        </w:rPr>
        <w:t>保证金无息退还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。</w:t>
      </w:r>
    </w:p>
    <w:p w14:paraId="638FB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eastAsia="仿宋_GB2312" w:hAnsiTheme="minorHAnsi"/>
          <w:b/>
          <w:bCs/>
          <w:color w:val="auto"/>
          <w:spacing w:val="0"/>
          <w:sz w:val="32"/>
          <w:highlight w:val="none"/>
          <w:lang w:val="en-US" w:eastAsia="zh-CN"/>
        </w:rPr>
      </w:pPr>
      <w:r>
        <w:rPr>
          <w:rFonts w:hint="eastAsia" w:ascii="仿宋_GB2312" w:eastAsia="仿宋_GB2312" w:hAnsiTheme="minorHAnsi"/>
          <w:b/>
          <w:bCs/>
          <w:color w:val="auto"/>
          <w:spacing w:val="0"/>
          <w:sz w:val="32"/>
          <w:highlight w:val="none"/>
          <w:lang w:val="en-US" w:eastAsia="zh-CN"/>
        </w:rPr>
        <w:t>（二）履约保证金</w:t>
      </w:r>
    </w:p>
    <w:p w14:paraId="7041D3C7">
      <w:pPr>
        <w:keepNext w:val="0"/>
        <w:keepLines w:val="0"/>
        <w:pageBreakBefore w:val="0"/>
        <w:widowControl w:val="0"/>
        <w:shd w:val="clear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-2147483648" w:afterLines="-2147483648" w:line="56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 w:hAnsiTheme="minorHAnsi" w:cstheme="minorBidi"/>
          <w:b w:val="0"/>
          <w:color w:val="auto"/>
          <w:spacing w:val="0"/>
          <w:sz w:val="32"/>
          <w:szCs w:val="24"/>
          <w:highlight w:val="none"/>
        </w:rPr>
      </w:pPr>
      <w:r>
        <w:rPr>
          <w:rFonts w:hint="eastAsia" w:ascii="仿宋_GB2312" w:eastAsia="仿宋_GB2312" w:hAnsiTheme="minorHAnsi" w:cstheme="minorBidi"/>
          <w:b w:val="0"/>
          <w:color w:val="auto"/>
          <w:spacing w:val="0"/>
          <w:sz w:val="32"/>
          <w:szCs w:val="24"/>
          <w:highlight w:val="none"/>
        </w:rPr>
        <w:t>本合同签订前须缴纳履约保证金</w:t>
      </w:r>
      <w:r>
        <w:rPr>
          <w:rFonts w:hint="eastAsia" w:ascii="仿宋_GB2312" w:eastAsia="仿宋_GB2312" w:cstheme="minorBidi"/>
          <w:b w:val="0"/>
          <w:color w:val="auto"/>
          <w:spacing w:val="0"/>
          <w:sz w:val="32"/>
          <w:szCs w:val="24"/>
          <w:highlight w:val="none"/>
          <w:u w:val="none"/>
          <w:lang w:val="en-US" w:eastAsia="zh-CN"/>
        </w:rPr>
        <w:t>15</w:t>
      </w:r>
      <w:r>
        <w:rPr>
          <w:rFonts w:hint="eastAsia" w:ascii="仿宋_GB2312" w:eastAsia="仿宋_GB2312" w:hAnsiTheme="minorHAnsi" w:cstheme="minorBidi"/>
          <w:b w:val="0"/>
          <w:color w:val="auto"/>
          <w:spacing w:val="0"/>
          <w:sz w:val="32"/>
          <w:szCs w:val="24"/>
          <w:highlight w:val="none"/>
        </w:rPr>
        <w:t>万元，由</w:t>
      </w:r>
      <w:r>
        <w:rPr>
          <w:rFonts w:hint="eastAsia" w:ascii="仿宋_GB2312" w:eastAsia="仿宋_GB2312" w:hAnsiTheme="minorHAnsi" w:cstheme="minorBidi"/>
          <w:b w:val="0"/>
          <w:color w:val="auto"/>
          <w:spacing w:val="0"/>
          <w:sz w:val="32"/>
          <w:szCs w:val="24"/>
          <w:highlight w:val="none"/>
          <w:lang w:val="en-US" w:eastAsia="zh-CN"/>
        </w:rPr>
        <w:t>中价供应商</w:t>
      </w:r>
      <w:r>
        <w:rPr>
          <w:rFonts w:hint="eastAsia" w:ascii="仿宋_GB2312" w:eastAsia="仿宋_GB2312" w:hAnsiTheme="minorHAnsi" w:cstheme="minorBidi"/>
          <w:b w:val="0"/>
          <w:color w:val="auto"/>
          <w:spacing w:val="0"/>
          <w:sz w:val="32"/>
          <w:szCs w:val="24"/>
          <w:highlight w:val="none"/>
        </w:rPr>
        <w:t>交至</w:t>
      </w:r>
      <w:r>
        <w:rPr>
          <w:rFonts w:hint="eastAsia" w:ascii="仿宋_GB2312" w:eastAsia="仿宋_GB2312" w:cstheme="minorBidi"/>
          <w:b w:val="0"/>
          <w:color w:val="auto"/>
          <w:spacing w:val="0"/>
          <w:sz w:val="32"/>
          <w:szCs w:val="24"/>
          <w:highlight w:val="none"/>
          <w:u w:val="single"/>
          <w:lang w:val="en-US" w:eastAsia="zh-CN"/>
        </w:rPr>
        <w:t>伊宁能源</w:t>
      </w:r>
      <w:r>
        <w:rPr>
          <w:rFonts w:hint="eastAsia" w:ascii="仿宋_GB2312" w:eastAsia="仿宋_GB2312" w:hAnsiTheme="minorHAnsi" w:cstheme="minorBidi"/>
          <w:b w:val="0"/>
          <w:color w:val="auto"/>
          <w:spacing w:val="0"/>
          <w:sz w:val="32"/>
          <w:szCs w:val="24"/>
          <w:highlight w:val="none"/>
        </w:rPr>
        <w:t>公司。当履约率不达标时，</w:t>
      </w:r>
      <w:r>
        <w:rPr>
          <w:rFonts w:hint="eastAsia" w:ascii="仿宋_GB2312" w:eastAsia="仿宋_GB2312" w:cstheme="minorBidi"/>
          <w:b w:val="0"/>
          <w:color w:val="auto"/>
          <w:spacing w:val="0"/>
          <w:sz w:val="32"/>
          <w:szCs w:val="24"/>
          <w:highlight w:val="none"/>
          <w:u w:val="single"/>
          <w:lang w:val="en-US" w:eastAsia="zh-CN"/>
        </w:rPr>
        <w:t>伊宁能源</w:t>
      </w:r>
      <w:r>
        <w:rPr>
          <w:rFonts w:hint="eastAsia" w:ascii="仿宋_GB2312" w:eastAsia="仿宋_GB2312" w:hAnsiTheme="minorHAnsi" w:cstheme="minorBidi"/>
          <w:b w:val="0"/>
          <w:color w:val="auto"/>
          <w:spacing w:val="0"/>
          <w:sz w:val="32"/>
          <w:szCs w:val="24"/>
          <w:highlight w:val="none"/>
          <w:lang w:val="en-US" w:eastAsia="zh-CN"/>
        </w:rPr>
        <w:t>公司</w:t>
      </w:r>
      <w:r>
        <w:rPr>
          <w:rFonts w:hint="eastAsia" w:ascii="仿宋_GB2312" w:eastAsia="仿宋_GB2312" w:hAnsiTheme="minorHAnsi" w:cstheme="minorBidi"/>
          <w:b w:val="0"/>
          <w:color w:val="auto"/>
          <w:spacing w:val="0"/>
          <w:sz w:val="32"/>
          <w:szCs w:val="24"/>
          <w:highlight w:val="none"/>
        </w:rPr>
        <w:t>按照合同约定扣除</w:t>
      </w:r>
      <w:r>
        <w:rPr>
          <w:rFonts w:hint="eastAsia" w:ascii="仿宋_GB2312" w:eastAsia="仿宋_GB2312" w:hAnsiTheme="minorHAnsi" w:cstheme="minorBidi"/>
          <w:b w:val="0"/>
          <w:color w:val="auto"/>
          <w:spacing w:val="0"/>
          <w:sz w:val="32"/>
          <w:szCs w:val="24"/>
          <w:highlight w:val="none"/>
          <w:lang w:val="en-US" w:eastAsia="zh-CN"/>
        </w:rPr>
        <w:t>中价供应商</w:t>
      </w:r>
      <w:r>
        <w:rPr>
          <w:rFonts w:hint="eastAsia" w:ascii="仿宋_GB2312" w:eastAsia="仿宋_GB2312" w:hAnsiTheme="minorHAnsi" w:cstheme="minorBidi"/>
          <w:b w:val="0"/>
          <w:color w:val="auto"/>
          <w:spacing w:val="0"/>
          <w:sz w:val="32"/>
          <w:szCs w:val="24"/>
          <w:highlight w:val="none"/>
        </w:rPr>
        <w:t>履约保证金。</w:t>
      </w:r>
    </w:p>
    <w:p w14:paraId="4EB99F1C">
      <w:pPr>
        <w:keepNext w:val="0"/>
        <w:keepLines w:val="0"/>
        <w:pageBreakBefore w:val="0"/>
        <w:widowControl w:val="0"/>
        <w:tabs>
          <w:tab w:val="left" w:pos="12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黑体" w:hAnsi="黑体" w:eastAsia="黑体"/>
          <w:b/>
          <w:bCs/>
          <w:color w:val="auto"/>
          <w:spacing w:val="0"/>
          <w:sz w:val="32"/>
          <w:highlight w:val="none"/>
          <w:lang w:val="en-US"/>
        </w:rPr>
      </w:pPr>
      <w:r>
        <w:rPr>
          <w:rFonts w:hint="eastAsia" w:ascii="黑体" w:hAnsi="黑体" w:eastAsia="黑体"/>
          <w:b/>
          <w:bCs/>
          <w:color w:val="auto"/>
          <w:spacing w:val="0"/>
          <w:sz w:val="32"/>
          <w:highlight w:val="none"/>
          <w:lang w:val="en-US" w:eastAsia="zh-CN"/>
        </w:rPr>
        <w:t>九、</w:t>
      </w:r>
      <w:r>
        <w:rPr>
          <w:rFonts w:hint="eastAsia" w:ascii="黑体" w:hAnsi="黑体" w:eastAsia="黑体"/>
          <w:b/>
          <w:bCs/>
          <w:color w:val="auto"/>
          <w:spacing w:val="0"/>
          <w:sz w:val="32"/>
          <w:highlight w:val="none"/>
          <w:lang w:val="en-US"/>
        </w:rPr>
        <w:t>合同要求</w:t>
      </w:r>
    </w:p>
    <w:p w14:paraId="1F9C2A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供应商在接到中价通知后，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highlight w:val="none"/>
        </w:rPr>
        <w:t>应在3日内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缴纳履约保证金，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highlight w:val="none"/>
        </w:rPr>
        <w:t>派法定代表人或授权代表到指定地点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highlight w:val="none"/>
          <w:lang w:val="en-US" w:eastAsia="zh-CN"/>
        </w:rPr>
        <w:t>按照公告合同范本，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u w:val="single"/>
          <w:lang w:val="en-US" w:eastAsia="zh-CN"/>
        </w:rPr>
        <w:t>伊宁能源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公司签订</w:t>
      </w:r>
      <w:r>
        <w:rPr>
          <w:rFonts w:hint="eastAsia" w:ascii="仿宋_GB2312" w:hAnsi="仿宋_GB2312" w:eastAsia="仿宋_GB2312"/>
          <w:bCs/>
          <w:color w:val="auto"/>
          <w:spacing w:val="0"/>
          <w:sz w:val="32"/>
          <w:szCs w:val="32"/>
          <w:highlight w:val="none"/>
        </w:rPr>
        <w:t>煤炭运输合同</w:t>
      </w:r>
      <w:r>
        <w:rPr>
          <w:rFonts w:hint="eastAsia" w:ascii="仿宋_GB2312" w:hAnsi="仿宋_GB2312" w:eastAsia="仿宋_GB2312"/>
          <w:bCs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/>
          <w:bCs/>
          <w:color w:val="auto"/>
          <w:spacing w:val="0"/>
          <w:sz w:val="32"/>
          <w:szCs w:val="32"/>
          <w:highlight w:val="none"/>
          <w:lang w:val="en-US" w:eastAsia="zh-CN"/>
        </w:rPr>
        <w:t>安全协议、廉洁承诺书</w:t>
      </w:r>
      <w:r>
        <w:rPr>
          <w:rFonts w:hint="eastAsia" w:ascii="仿宋_GB2312" w:hAnsi="仿宋_GB2312" w:eastAsia="仿宋_GB2312"/>
          <w:bCs/>
          <w:color w:val="auto"/>
          <w:spacing w:val="0"/>
          <w:sz w:val="32"/>
          <w:szCs w:val="32"/>
          <w:highlight w:val="none"/>
        </w:rPr>
        <w:t>。</w:t>
      </w:r>
    </w:p>
    <w:p w14:paraId="38FE9D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pacing w:val="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highlight w:val="none"/>
          <w:lang w:eastAsia="zh-CN"/>
        </w:rPr>
        <w:t>）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中价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供应商签订合同时，需提供加盖公章的营业执照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eastAsia="zh-CN"/>
        </w:rPr>
        <w:t>、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开户许可证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eastAsia="zh-CN"/>
        </w:rPr>
        <w:t>、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运输许可证、法定代表人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身份证或有效的法人授权委托书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eastAsia="zh-CN"/>
        </w:rPr>
        <w:t>、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被授权人的身份证复印件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等资质材料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。</w:t>
      </w:r>
    </w:p>
    <w:p w14:paraId="1ECB9ED8">
      <w:pPr>
        <w:keepNext w:val="0"/>
        <w:keepLines w:val="0"/>
        <w:pageBreakBefore w:val="0"/>
        <w:widowControl w:val="0"/>
        <w:tabs>
          <w:tab w:val="left" w:pos="12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highlight w:val="none"/>
        </w:rPr>
        <w:t>如供应商未按中价通知要求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highlight w:val="none"/>
        </w:rPr>
        <w:t>在规定的时间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highlight w:val="none"/>
        </w:rPr>
        <w:t>签订煤炭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highlight w:val="none"/>
          <w:lang w:val="en-US" w:eastAsia="zh-CN"/>
        </w:rPr>
        <w:t>运输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highlight w:val="none"/>
        </w:rPr>
        <w:t>合同</w:t>
      </w:r>
      <w:r>
        <w:rPr>
          <w:rFonts w:hint="eastAsia" w:ascii="仿宋_GB2312" w:hAnsi="仿宋_GB2312" w:eastAsia="仿宋_GB2312"/>
          <w:bCs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/>
          <w:bCs/>
          <w:color w:val="auto"/>
          <w:spacing w:val="0"/>
          <w:sz w:val="32"/>
          <w:szCs w:val="32"/>
          <w:highlight w:val="none"/>
          <w:lang w:val="en-US" w:eastAsia="zh-CN"/>
        </w:rPr>
        <w:t>安全协议、廉洁承诺书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u w:val="single"/>
          <w:lang w:val="en-US" w:eastAsia="zh-CN"/>
        </w:rPr>
        <w:t>伊宁能源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highlight w:val="none"/>
        </w:rPr>
        <w:t>公司有权取消中价供应商资格，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highlight w:val="none"/>
          <w:lang w:eastAsia="zh-CN"/>
        </w:rPr>
        <w:t>且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0"/>
          <w:kern w:val="56"/>
          <w:sz w:val="32"/>
          <w:szCs w:val="32"/>
          <w:highlight w:val="none"/>
        </w:rPr>
        <w:t>执行</w:t>
      </w:r>
      <w:r>
        <w:rPr>
          <w:rFonts w:hint="eastAsia" w:ascii="仿宋_GB2312" w:eastAsia="仿宋_GB2312" w:cs="仿宋"/>
          <w:b w:val="0"/>
          <w:bCs w:val="0"/>
          <w:color w:val="auto"/>
          <w:spacing w:val="0"/>
          <w:kern w:val="56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0"/>
          <w:kern w:val="56"/>
          <w:sz w:val="32"/>
          <w:szCs w:val="32"/>
          <w:highlight w:val="none"/>
        </w:rPr>
        <w:t>个月惩戒期，惩戒期内不得与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0"/>
          <w:kern w:val="56"/>
          <w:sz w:val="32"/>
          <w:szCs w:val="32"/>
          <w:highlight w:val="none"/>
          <w:lang w:val="en-US" w:eastAsia="zh-CN"/>
        </w:rPr>
        <w:t>新疆公司所属火电企业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0"/>
          <w:kern w:val="56"/>
          <w:sz w:val="32"/>
          <w:szCs w:val="32"/>
          <w:highlight w:val="none"/>
        </w:rPr>
        <w:t>发生电煤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0"/>
          <w:kern w:val="56"/>
          <w:sz w:val="32"/>
          <w:szCs w:val="32"/>
          <w:highlight w:val="none"/>
          <w:lang w:val="en-US" w:eastAsia="zh-CN"/>
        </w:rPr>
        <w:t>运输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0"/>
          <w:kern w:val="56"/>
          <w:sz w:val="32"/>
          <w:szCs w:val="32"/>
          <w:highlight w:val="none"/>
        </w:rPr>
        <w:t>业务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highlight w:val="none"/>
        </w:rPr>
        <w:t>。</w:t>
      </w:r>
    </w:p>
    <w:p w14:paraId="073757C2">
      <w:pPr>
        <w:keepNext w:val="0"/>
        <w:keepLines w:val="0"/>
        <w:pageBreakBefore w:val="0"/>
        <w:widowControl w:val="0"/>
        <w:tabs>
          <w:tab w:val="left" w:pos="12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pacing w:val="0"/>
          <w:sz w:val="32"/>
          <w:highlight w:val="none"/>
        </w:rPr>
      </w:pP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（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五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）验收及结算方式</w:t>
      </w:r>
    </w:p>
    <w:p w14:paraId="25A3B303">
      <w:pPr>
        <w:keepNext w:val="0"/>
        <w:keepLines w:val="0"/>
        <w:pageBreakBefore w:val="0"/>
        <w:widowControl w:val="0"/>
        <w:tabs>
          <w:tab w:val="left" w:pos="12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pacing w:val="0"/>
          <w:sz w:val="32"/>
          <w:highlight w:val="none"/>
        </w:rPr>
      </w:pP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1. 煤炭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运输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合同价格：以实际签订合同条款为准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eastAsia="zh-CN"/>
        </w:rPr>
        <w:t>。</w:t>
      </w:r>
    </w:p>
    <w:p w14:paraId="4E113E97">
      <w:pPr>
        <w:keepNext w:val="0"/>
        <w:keepLines w:val="0"/>
        <w:pageBreakBefore w:val="0"/>
        <w:widowControl w:val="0"/>
        <w:tabs>
          <w:tab w:val="left" w:pos="12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pacing w:val="0"/>
          <w:sz w:val="32"/>
          <w:highlight w:val="none"/>
        </w:rPr>
      </w:pP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. 验收标准：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数量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以收货单位过磅数量为准。</w:t>
      </w:r>
    </w:p>
    <w:p w14:paraId="67BF1BA9">
      <w:pPr>
        <w:keepNext w:val="0"/>
        <w:keepLines w:val="0"/>
        <w:pageBreakBefore w:val="0"/>
        <w:widowControl w:val="0"/>
        <w:tabs>
          <w:tab w:val="left" w:pos="12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 xml:space="preserve">. 结算方式：数量核对无误后, 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中价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供应商开具符合国家税法规定的增值税专用发票后提交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电厂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办理结算，运费结算周期与煤炭结算周期同步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eastAsia="zh-CN"/>
        </w:rPr>
        <w:t>。</w:t>
      </w:r>
    </w:p>
    <w:p w14:paraId="7AA1383D">
      <w:pPr>
        <w:keepNext w:val="0"/>
        <w:keepLines w:val="0"/>
        <w:pageBreakBefore w:val="0"/>
        <w:widowControl w:val="0"/>
        <w:tabs>
          <w:tab w:val="left" w:pos="12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color w:val="auto"/>
          <w:spacing w:val="0"/>
          <w:sz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 xml:space="preserve">4. 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付款方式：承兑汇票或电汇。因承兑汇票产生的贴息费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eastAsia="zh-CN"/>
        </w:rPr>
        <w:t>、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手续费等相关费用均由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中价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供应商承担。</w:t>
      </w:r>
    </w:p>
    <w:p w14:paraId="5749D503">
      <w:pPr>
        <w:keepNext w:val="0"/>
        <w:keepLines w:val="0"/>
        <w:pageBreakBefore w:val="0"/>
        <w:widowControl w:val="0"/>
        <w:tabs>
          <w:tab w:val="left" w:pos="12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黑体" w:hAnsi="黑体" w:eastAsia="黑体"/>
          <w:b/>
          <w:bCs/>
          <w:color w:val="auto"/>
          <w:spacing w:val="0"/>
          <w:sz w:val="32"/>
          <w:highlight w:val="none"/>
          <w:lang w:val="en-US" w:eastAsia="zh-CN"/>
        </w:rPr>
      </w:pPr>
      <w:r>
        <w:rPr>
          <w:rFonts w:hint="eastAsia" w:ascii="黑体" w:hAnsi="黑体" w:eastAsia="黑体"/>
          <w:b/>
          <w:bCs/>
          <w:color w:val="auto"/>
          <w:spacing w:val="0"/>
          <w:sz w:val="32"/>
          <w:highlight w:val="none"/>
          <w:lang w:val="en-US" w:eastAsia="zh-CN"/>
        </w:rPr>
        <w:t>十、</w:t>
      </w:r>
      <w:r>
        <w:rPr>
          <w:rFonts w:hint="eastAsia" w:ascii="黑体" w:hAnsi="黑体" w:eastAsia="黑体"/>
          <w:b/>
          <w:bCs/>
          <w:color w:val="auto"/>
          <w:spacing w:val="0"/>
          <w:sz w:val="32"/>
          <w:highlight w:val="none"/>
          <w:lang w:val="en-US"/>
        </w:rPr>
        <w:t>供应商</w:t>
      </w:r>
      <w:r>
        <w:rPr>
          <w:rFonts w:hint="eastAsia" w:ascii="黑体" w:hAnsi="黑体" w:eastAsia="黑体"/>
          <w:b/>
          <w:bCs/>
          <w:color w:val="auto"/>
          <w:spacing w:val="0"/>
          <w:sz w:val="32"/>
          <w:highlight w:val="none"/>
          <w:lang w:val="en-US" w:eastAsia="zh-CN"/>
        </w:rPr>
        <w:t>评价</w:t>
      </w:r>
    </w:p>
    <w:p w14:paraId="06DCC6FE">
      <w:pPr>
        <w:keepNext w:val="0"/>
        <w:keepLines w:val="0"/>
        <w:pageBreakBefore w:val="0"/>
        <w:widowControl w:val="0"/>
        <w:tabs>
          <w:tab w:val="left" w:pos="12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pacing w:val="0"/>
          <w:sz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pacing w:val="0"/>
          <w:sz w:val="32"/>
          <w:highlight w:val="none"/>
          <w:lang w:eastAsia="zh-CN"/>
        </w:rPr>
        <w:t>供应商参与报价</w:t>
      </w:r>
      <w:r>
        <w:rPr>
          <w:rFonts w:hint="default" w:ascii="仿宋_GB2312" w:eastAsia="仿宋_GB2312"/>
          <w:color w:val="auto"/>
          <w:spacing w:val="0"/>
          <w:sz w:val="32"/>
          <w:highlight w:val="none"/>
          <w:lang w:eastAsia="zh-CN"/>
        </w:rPr>
        <w:t>的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eastAsia="zh-CN"/>
        </w:rPr>
        <w:t>，视</w:t>
      </w:r>
      <w:r>
        <w:rPr>
          <w:rFonts w:hint="default" w:ascii="仿宋_GB2312" w:eastAsia="仿宋_GB2312"/>
          <w:color w:val="auto"/>
          <w:spacing w:val="0"/>
          <w:sz w:val="32"/>
          <w:highlight w:val="none"/>
          <w:lang w:eastAsia="zh-CN"/>
        </w:rPr>
        <w:t>为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eastAsia="zh-CN"/>
        </w:rPr>
        <w:t>接受并遵守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《华电新疆发电有限公司电煤供应商管理办法》（详见附件）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eastAsia="zh-CN"/>
        </w:rPr>
        <w:t>，有触发以下“阶段退出”或“永久退出”行为之一的供应商，</w:t>
      </w:r>
      <w:r>
        <w:rPr>
          <w:rFonts w:hint="default" w:ascii="仿宋_GB2312" w:eastAsia="仿宋_GB2312"/>
          <w:color w:val="auto"/>
          <w:spacing w:val="0"/>
          <w:sz w:val="32"/>
          <w:highlight w:val="none"/>
        </w:rPr>
        <w:t>将强制执行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供应商</w:t>
      </w:r>
      <w:r>
        <w:rPr>
          <w:rFonts w:hint="default" w:ascii="仿宋_GB2312" w:eastAsia="仿宋_GB2312"/>
          <w:color w:val="auto"/>
          <w:spacing w:val="0"/>
          <w:sz w:val="32"/>
          <w:highlight w:val="none"/>
        </w:rPr>
        <w:t>退出机制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eastAsia="zh-CN"/>
        </w:rPr>
        <w:t>：</w:t>
      </w:r>
    </w:p>
    <w:p w14:paraId="5703A195">
      <w:pPr>
        <w:keepNext w:val="0"/>
        <w:keepLines w:val="0"/>
        <w:pageBreakBefore w:val="0"/>
        <w:shd w:val="clear"/>
        <w:tabs>
          <w:tab w:val="left" w:pos="12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 w:cstheme="minorBidi"/>
          <w:b/>
          <w:bCs/>
          <w:color w:val="auto"/>
          <w:spacing w:val="0"/>
          <w:sz w:val="32"/>
          <w:szCs w:val="24"/>
          <w:highlight w:val="none"/>
          <w:lang w:val="en-US" w:eastAsia="zh-CN"/>
        </w:rPr>
      </w:pPr>
      <w:r>
        <w:rPr>
          <w:rFonts w:hint="eastAsia" w:ascii="仿宋_GB2312" w:eastAsia="仿宋_GB2312" w:cstheme="minorBidi"/>
          <w:b/>
          <w:bCs/>
          <w:color w:val="auto"/>
          <w:spacing w:val="0"/>
          <w:sz w:val="32"/>
          <w:szCs w:val="24"/>
          <w:highlight w:val="none"/>
          <w:lang w:eastAsia="zh-CN"/>
        </w:rPr>
        <w:t>（</w:t>
      </w:r>
      <w:r>
        <w:rPr>
          <w:rFonts w:hint="eastAsia" w:ascii="仿宋_GB2312" w:eastAsia="仿宋_GB2312" w:cstheme="minorBidi"/>
          <w:b/>
          <w:bCs/>
          <w:color w:val="auto"/>
          <w:spacing w:val="0"/>
          <w:sz w:val="32"/>
          <w:szCs w:val="24"/>
          <w:highlight w:val="none"/>
          <w:lang w:val="en-US" w:eastAsia="zh-CN"/>
        </w:rPr>
        <w:t>一</w:t>
      </w:r>
      <w:r>
        <w:rPr>
          <w:rFonts w:hint="eastAsia" w:ascii="仿宋_GB2312" w:eastAsia="仿宋_GB2312" w:cstheme="minorBidi"/>
          <w:b/>
          <w:bCs/>
          <w:color w:val="auto"/>
          <w:spacing w:val="0"/>
          <w:sz w:val="32"/>
          <w:szCs w:val="24"/>
          <w:highlight w:val="none"/>
          <w:lang w:eastAsia="zh-CN"/>
        </w:rPr>
        <w:t>）</w:t>
      </w:r>
      <w:r>
        <w:rPr>
          <w:rFonts w:hint="eastAsia" w:ascii="仿宋_GB2312" w:eastAsia="仿宋_GB2312" w:cstheme="minorBidi"/>
          <w:b/>
          <w:bCs/>
          <w:color w:val="auto"/>
          <w:spacing w:val="0"/>
          <w:sz w:val="32"/>
          <w:szCs w:val="24"/>
          <w:highlight w:val="none"/>
          <w:lang w:val="en-US" w:eastAsia="zh-CN"/>
        </w:rPr>
        <w:t>关联关系定义</w:t>
      </w:r>
    </w:p>
    <w:p w14:paraId="3CADB404">
      <w:pPr>
        <w:keepNext w:val="0"/>
        <w:keepLines w:val="0"/>
        <w:pageBreakBefore w:val="0"/>
        <w:widowControl/>
        <w:numPr>
          <w:ilvl w:val="0"/>
          <w:numId w:val="0"/>
        </w:numPr>
        <w:shd w:val="clear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right="0" w:rightChars="0" w:firstLine="643" w:firstLineChars="200"/>
        <w:jc w:val="both"/>
        <w:textAlignment w:val="auto"/>
        <w:outlineLvl w:val="9"/>
        <w:rPr>
          <w:rFonts w:hint="default"/>
          <w:spacing w:val="0"/>
          <w:lang w:val="en-US" w:eastAsia="zh-CN"/>
        </w:rPr>
      </w:pPr>
      <w:r>
        <w:rPr>
          <w:rFonts w:hint="default" w:ascii="仿宋_GB2312" w:hAnsi="仿宋" w:eastAsia="仿宋_GB2312" w:cs="仿宋"/>
          <w:b/>
          <w:bCs w:val="0"/>
          <w:color w:val="auto"/>
          <w:spacing w:val="0"/>
          <w:kern w:val="2"/>
          <w:sz w:val="32"/>
          <w:szCs w:val="32"/>
          <w:highlight w:val="none"/>
          <w:lang w:bidi="en-US"/>
        </w:rPr>
        <w:t>企业法定代表人或被授权人</w:t>
      </w:r>
      <w:r>
        <w:rPr>
          <w:rFonts w:hint="default" w:ascii="仿宋_GB2312" w:hAnsi="仿宋" w:eastAsia="仿宋_GB2312" w:cs="仿宋"/>
          <w:b/>
          <w:bCs w:val="0"/>
          <w:color w:val="auto"/>
          <w:spacing w:val="0"/>
          <w:kern w:val="2"/>
          <w:sz w:val="32"/>
          <w:szCs w:val="32"/>
          <w:highlight w:val="none"/>
          <w:lang w:eastAsia="zh-CN" w:bidi="en-US"/>
        </w:rPr>
        <w:t>关联关系</w:t>
      </w:r>
      <w:r>
        <w:rPr>
          <w:rFonts w:hint="default" w:ascii="仿宋_GB2312" w:hAnsi="仿宋" w:eastAsia="仿宋_GB2312" w:cs="仿宋"/>
          <w:bCs/>
          <w:color w:val="auto"/>
          <w:spacing w:val="0"/>
          <w:kern w:val="2"/>
          <w:sz w:val="32"/>
          <w:szCs w:val="32"/>
          <w:highlight w:val="none"/>
          <w:lang w:val="en-US" w:eastAsia="zh-CN" w:bidi="en-US"/>
        </w:rPr>
        <w:t>是</w:t>
      </w:r>
      <w:r>
        <w:rPr>
          <w:rFonts w:hint="default" w:ascii="仿宋_GB2312" w:hAnsi="仿宋" w:eastAsia="仿宋_GB2312" w:cs="仿宋"/>
          <w:bCs/>
          <w:color w:val="auto"/>
          <w:spacing w:val="0"/>
          <w:kern w:val="2"/>
          <w:sz w:val="32"/>
          <w:szCs w:val="32"/>
          <w:highlight w:val="none"/>
          <w:lang w:eastAsia="zh-CN" w:bidi="en-US"/>
        </w:rPr>
        <w:t>指在电煤竞价</w:t>
      </w:r>
      <w:r>
        <w:rPr>
          <w:rFonts w:hint="eastAsia" w:ascii="仿宋_GB2312" w:hAnsi="仿宋" w:eastAsia="仿宋_GB2312" w:cs="仿宋"/>
          <w:bCs w:val="0"/>
          <w:color w:val="auto"/>
          <w:spacing w:val="0"/>
          <w:kern w:val="56"/>
          <w:sz w:val="32"/>
          <w:szCs w:val="32"/>
          <w:highlight w:val="none"/>
          <w:lang w:eastAsia="zh-CN" w:bidi="en-US"/>
        </w:rPr>
        <w:t>平台或工商信息注册登记中法人、</w:t>
      </w:r>
      <w:r>
        <w:rPr>
          <w:rFonts w:hint="eastAsia" w:ascii="仿宋_GB2312" w:hAnsi="仿宋" w:eastAsia="仿宋_GB2312" w:cs="仿宋"/>
          <w:bCs w:val="0"/>
          <w:color w:val="auto"/>
          <w:spacing w:val="0"/>
          <w:kern w:val="56"/>
          <w:sz w:val="32"/>
          <w:szCs w:val="32"/>
          <w:highlight w:val="none"/>
          <w:lang w:bidi="en-US"/>
        </w:rPr>
        <w:t>被授权人</w:t>
      </w:r>
      <w:r>
        <w:rPr>
          <w:rFonts w:hint="eastAsia" w:ascii="仿宋_GB2312" w:hAnsi="仿宋" w:eastAsia="仿宋_GB2312" w:cs="仿宋"/>
          <w:bCs w:val="0"/>
          <w:color w:val="auto"/>
          <w:spacing w:val="0"/>
          <w:kern w:val="56"/>
          <w:sz w:val="32"/>
          <w:szCs w:val="32"/>
          <w:highlight w:val="none"/>
          <w:lang w:eastAsia="zh-CN" w:bidi="en-US"/>
        </w:rPr>
        <w:t>、联系人、电话或邮箱</w:t>
      </w:r>
      <w:r>
        <w:rPr>
          <w:rFonts w:hint="eastAsia" w:ascii="仿宋_GB2312" w:hAnsi="仿宋" w:eastAsia="仿宋_GB2312" w:cs="仿宋"/>
          <w:bCs w:val="0"/>
          <w:color w:val="auto"/>
          <w:spacing w:val="0"/>
          <w:kern w:val="56"/>
          <w:sz w:val="32"/>
          <w:szCs w:val="32"/>
          <w:highlight w:val="none"/>
          <w:lang w:val="en-US" w:eastAsia="zh-CN" w:bidi="en-US"/>
        </w:rPr>
        <w:t>任一信息</w:t>
      </w:r>
      <w:r>
        <w:rPr>
          <w:rFonts w:hint="eastAsia" w:ascii="仿宋_GB2312" w:hAnsi="仿宋" w:eastAsia="仿宋_GB2312" w:cs="仿宋"/>
          <w:bCs w:val="0"/>
          <w:color w:val="auto"/>
          <w:spacing w:val="0"/>
          <w:kern w:val="56"/>
          <w:sz w:val="32"/>
          <w:szCs w:val="32"/>
          <w:highlight w:val="none"/>
          <w:lang w:eastAsia="zh-CN" w:bidi="en-US"/>
        </w:rPr>
        <w:t>相同。</w:t>
      </w:r>
      <w:r>
        <w:rPr>
          <w:rFonts w:hint="eastAsia" w:ascii="仿宋_GB2312" w:hAnsi="仿宋" w:eastAsia="仿宋_GB2312" w:cs="仿宋"/>
          <w:b/>
          <w:bCs/>
          <w:color w:val="auto"/>
          <w:spacing w:val="0"/>
          <w:kern w:val="56"/>
          <w:sz w:val="32"/>
          <w:szCs w:val="32"/>
          <w:highlight w:val="none"/>
          <w:lang w:val="en-US" w:eastAsia="zh-CN" w:bidi="en-US"/>
        </w:rPr>
        <w:t>关联供应商</w:t>
      </w:r>
      <w:r>
        <w:rPr>
          <w:rFonts w:hint="eastAsia" w:ascii="仿宋_GB2312" w:hAnsi="仿宋" w:eastAsia="仿宋_GB2312" w:cs="仿宋"/>
          <w:bCs w:val="0"/>
          <w:color w:val="auto"/>
          <w:spacing w:val="0"/>
          <w:kern w:val="56"/>
          <w:sz w:val="32"/>
          <w:szCs w:val="32"/>
          <w:highlight w:val="none"/>
          <w:lang w:val="en-US" w:eastAsia="zh-CN" w:bidi="en-US"/>
        </w:rPr>
        <w:t>是指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val="en-US" w:eastAsia="zh-CN"/>
        </w:rPr>
        <w:t>具有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  <w:t>相同法人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val="en-US" w:eastAsia="zh-CN"/>
        </w:rPr>
        <w:t>或被授权人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  <w:t>、相同受益人、相同控制人、相同联系人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val="en-US" w:eastAsia="zh-CN"/>
        </w:rPr>
        <w:t>电煤竞价平台或工商信息注册登记中联系人、电话或邮箱任一相同的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val="en-US" w:eastAsia="zh-CN"/>
        </w:rPr>
        <w:t>的供应商。</w:t>
      </w:r>
    </w:p>
    <w:p w14:paraId="543A4787">
      <w:pPr>
        <w:keepNext w:val="0"/>
        <w:keepLines w:val="0"/>
        <w:pageBreakBefore w:val="0"/>
        <w:shd w:val="clear"/>
        <w:tabs>
          <w:tab w:val="left" w:pos="12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 w:hAnsiTheme="minorHAnsi" w:cstheme="minorBidi"/>
          <w:b/>
          <w:bCs/>
          <w:color w:val="auto"/>
          <w:spacing w:val="0"/>
          <w:sz w:val="32"/>
          <w:szCs w:val="24"/>
          <w:highlight w:val="none"/>
        </w:rPr>
      </w:pPr>
      <w:r>
        <w:rPr>
          <w:rFonts w:hint="eastAsia" w:ascii="仿宋_GB2312" w:eastAsia="仿宋_GB2312" w:hAnsiTheme="minorHAnsi" w:cstheme="minorBidi"/>
          <w:b/>
          <w:bCs/>
          <w:color w:val="auto"/>
          <w:spacing w:val="0"/>
          <w:sz w:val="32"/>
          <w:szCs w:val="24"/>
          <w:highlight w:val="none"/>
          <w:lang w:eastAsia="zh-CN"/>
        </w:rPr>
        <w:t>（</w:t>
      </w:r>
      <w:r>
        <w:rPr>
          <w:rFonts w:hint="eastAsia" w:ascii="仿宋_GB2312" w:eastAsia="仿宋_GB2312" w:cstheme="minorBidi"/>
          <w:b/>
          <w:bCs/>
          <w:color w:val="auto"/>
          <w:spacing w:val="0"/>
          <w:sz w:val="32"/>
          <w:szCs w:val="24"/>
          <w:highlight w:val="none"/>
          <w:lang w:val="en-US" w:eastAsia="zh-CN"/>
        </w:rPr>
        <w:t>二</w:t>
      </w:r>
      <w:r>
        <w:rPr>
          <w:rFonts w:hint="eastAsia" w:ascii="仿宋_GB2312" w:eastAsia="仿宋_GB2312" w:hAnsiTheme="minorHAnsi" w:cstheme="minorBidi"/>
          <w:b/>
          <w:bCs/>
          <w:color w:val="auto"/>
          <w:spacing w:val="0"/>
          <w:sz w:val="32"/>
          <w:szCs w:val="24"/>
          <w:highlight w:val="none"/>
        </w:rPr>
        <w:t>）阶段退出</w:t>
      </w:r>
    </w:p>
    <w:p w14:paraId="07123AA4">
      <w:pPr>
        <w:keepNext w:val="0"/>
        <w:keepLines w:val="0"/>
        <w:pageBreakBefore w:val="0"/>
        <w:shd w:val="clear"/>
        <w:tabs>
          <w:tab w:val="left" w:pos="1800"/>
        </w:tabs>
        <w:kinsoku/>
        <w:wordWrap/>
        <w:overflowPunct/>
        <w:topLinePunct w:val="0"/>
        <w:bidi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  <w:t>阶段退出的电煤供应商执行6个月惩戒期，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spacing w:val="0"/>
          <w:kern w:val="2"/>
          <w:sz w:val="32"/>
          <w:szCs w:val="24"/>
          <w:highlight w:val="none"/>
        </w:rPr>
        <w:t>惩戒期内不得与</w:t>
      </w:r>
      <w:r>
        <w:rPr>
          <w:rFonts w:hint="eastAsia" w:ascii="仿宋_GB2312" w:eastAsia="仿宋_GB2312" w:cstheme="minorBidi"/>
          <w:b w:val="0"/>
          <w:bCs w:val="0"/>
          <w:color w:val="auto"/>
          <w:spacing w:val="0"/>
          <w:kern w:val="2"/>
          <w:sz w:val="32"/>
          <w:szCs w:val="24"/>
          <w:highlight w:val="none"/>
          <w:lang w:val="en-US" w:eastAsia="zh-CN"/>
        </w:rPr>
        <w:t>华电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spacing w:val="0"/>
          <w:kern w:val="2"/>
          <w:sz w:val="32"/>
          <w:szCs w:val="24"/>
          <w:highlight w:val="none"/>
          <w:lang w:val="en-US" w:eastAsia="zh-CN"/>
        </w:rPr>
        <w:t>新疆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spacing w:val="0"/>
          <w:kern w:val="2"/>
          <w:sz w:val="32"/>
          <w:szCs w:val="24"/>
          <w:highlight w:val="none"/>
          <w:lang w:eastAsia="zh-CN"/>
        </w:rPr>
        <w:t>公司所属单位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spacing w:val="0"/>
          <w:kern w:val="2"/>
          <w:sz w:val="32"/>
          <w:szCs w:val="24"/>
          <w:highlight w:val="none"/>
        </w:rPr>
        <w:t>发生电煤采购业务</w:t>
      </w:r>
      <w:r>
        <w:rPr>
          <w:rFonts w:hint="eastAsia" w:ascii="仿宋_GB2312" w:eastAsia="仿宋_GB2312" w:cstheme="minorBidi"/>
          <w:b w:val="0"/>
          <w:bCs w:val="0"/>
          <w:color w:val="auto"/>
          <w:spacing w:val="0"/>
          <w:kern w:val="2"/>
          <w:sz w:val="32"/>
          <w:szCs w:val="24"/>
          <w:highlight w:val="none"/>
          <w:lang w:eastAsia="zh-CN"/>
        </w:rPr>
        <w:t>，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  <w:t>惩戒期结束后不需要重新办理准入手续，可继续参与业务，触发阶段退出的条件如下：</w:t>
      </w:r>
    </w:p>
    <w:p w14:paraId="1C9E542A">
      <w:pPr>
        <w:numPr>
          <w:ilvl w:val="-1"/>
          <w:numId w:val="0"/>
        </w:numPr>
        <w:shd w:val="clear"/>
        <w:tabs>
          <w:tab w:val="left" w:pos="1800"/>
        </w:tabs>
        <w:spacing w:beforeLines="0" w:afterLines="0" w:line="560" w:lineRule="exact"/>
        <w:ind w:firstLine="640" w:firstLineChars="200"/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val="en-US" w:eastAsia="zh-CN"/>
        </w:rPr>
        <w:t xml:space="preserve">1. 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  <w:t>一个自然年内，因供应商原因，在接到书面采购通知后未签订煤炭购销合同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val="en-US" w:eastAsia="zh-CN"/>
        </w:rPr>
        <w:t>包括运输合同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  <w:t>1次。</w:t>
      </w:r>
    </w:p>
    <w:p w14:paraId="308EF1CD">
      <w:pPr>
        <w:numPr>
          <w:ilvl w:val="-1"/>
          <w:numId w:val="0"/>
        </w:numPr>
        <w:shd w:val="clear"/>
        <w:tabs>
          <w:tab w:val="left" w:pos="1800"/>
        </w:tabs>
        <w:spacing w:beforeLines="0" w:afterLines="0" w:line="560" w:lineRule="exact"/>
        <w:ind w:firstLine="640" w:firstLineChars="200"/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val="en-US" w:eastAsia="zh-CN"/>
        </w:rPr>
        <w:t xml:space="preserve">2. 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  <w:t>一个自然年内，因供应商原因，在签订煤炭购销合同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val="en-US" w:eastAsia="zh-CN"/>
        </w:rPr>
        <w:t>包括运输合同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  <w:t>后未启动发运1次。</w:t>
      </w:r>
    </w:p>
    <w:p w14:paraId="6B31D485">
      <w:pPr>
        <w:numPr>
          <w:ilvl w:val="-1"/>
          <w:numId w:val="0"/>
        </w:numPr>
        <w:shd w:val="clear"/>
        <w:tabs>
          <w:tab w:val="left" w:pos="1800"/>
        </w:tabs>
        <w:spacing w:beforeLines="0" w:afterLines="0" w:line="560" w:lineRule="exact"/>
        <w:ind w:firstLine="640" w:firstLineChars="200"/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val="en-US" w:eastAsia="zh-CN"/>
        </w:rPr>
        <w:t>3. 关联供应商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  <w:t>参与同一竞价1次。</w:t>
      </w:r>
    </w:p>
    <w:p w14:paraId="0E269545">
      <w:pPr>
        <w:numPr>
          <w:ilvl w:val="-1"/>
          <w:numId w:val="0"/>
        </w:numPr>
        <w:shd w:val="clear"/>
        <w:tabs>
          <w:tab w:val="left" w:pos="1800"/>
        </w:tabs>
        <w:spacing w:beforeLines="0" w:afterLines="0" w:line="560" w:lineRule="exact"/>
        <w:ind w:firstLine="640" w:firstLineChars="200"/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val="en-US" w:eastAsia="zh-CN"/>
        </w:rPr>
        <w:t xml:space="preserve">4. 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  <w:t>单一供应商在同一竞价与其他供应商使用相同IP报价1次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eastAsia="zh-CN"/>
        </w:rPr>
        <w:t>。</w:t>
      </w:r>
    </w:p>
    <w:p w14:paraId="4D4FA74A">
      <w:pPr>
        <w:keepNext w:val="0"/>
        <w:keepLines w:val="0"/>
        <w:pageBreakBefore w:val="0"/>
        <w:widowControl w:val="0"/>
        <w:numPr>
          <w:ilvl w:val="-1"/>
          <w:numId w:val="0"/>
        </w:numPr>
        <w:shd w:val="clear" w:fill="auto"/>
        <w:tabs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color w:val="auto"/>
          <w:spacing w:val="0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val="en-US" w:eastAsia="zh-CN"/>
        </w:rPr>
        <w:t>5. 一个自然月内，</w:t>
      </w:r>
      <w:r>
        <w:rPr>
          <w:rFonts w:hint="eastAsia" w:ascii="仿宋_GB2312" w:hAnsi="仿宋" w:eastAsia="仿宋_GB2312" w:cs="仿宋"/>
          <w:b w:val="0"/>
          <w:color w:val="auto"/>
          <w:spacing w:val="0"/>
          <w:kern w:val="56"/>
          <w:sz w:val="32"/>
          <w:szCs w:val="32"/>
          <w:highlight w:val="none"/>
          <w:lang w:val="en-US" w:eastAsia="zh-CN"/>
        </w:rPr>
        <w:t>供应的煤炭单车含有较多石块、其他杂物或颗粒度超过合同约定达到3次。</w:t>
      </w:r>
    </w:p>
    <w:p w14:paraId="6F1C43B5">
      <w:pPr>
        <w:keepNext w:val="0"/>
        <w:keepLines w:val="0"/>
        <w:pageBreakBefore w:val="0"/>
        <w:widowControl w:val="0"/>
        <w:numPr>
          <w:ilvl w:val="-1"/>
          <w:numId w:val="0"/>
        </w:numPr>
        <w:shd w:val="clear" w:fill="auto"/>
        <w:tabs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color w:val="auto"/>
          <w:spacing w:val="0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val="en-US" w:eastAsia="zh-CN"/>
        </w:rPr>
        <w:t>6. 一个自然月内，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0"/>
          <w:kern w:val="56"/>
          <w:sz w:val="32"/>
          <w:szCs w:val="32"/>
          <w:highlight w:val="none"/>
          <w:lang w:val="en-US" w:eastAsia="zh-CN"/>
        </w:rPr>
        <w:t>供应的煤炭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val="en-US" w:eastAsia="zh-CN"/>
        </w:rPr>
        <w:t>水分明显高于正常来煤情况（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  <w:t>车厢淌水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val="en-US" w:eastAsia="zh-CN"/>
        </w:rPr>
        <w:t>或造成采样机堵塞情况）</w:t>
      </w:r>
      <w:r>
        <w:rPr>
          <w:rFonts w:hint="eastAsia" w:ascii="仿宋_GB2312" w:hAnsi="仿宋" w:eastAsia="仿宋_GB2312" w:cs="仿宋"/>
          <w:b w:val="0"/>
          <w:color w:val="auto"/>
          <w:spacing w:val="0"/>
          <w:kern w:val="56"/>
          <w:sz w:val="32"/>
          <w:szCs w:val="32"/>
          <w:highlight w:val="none"/>
          <w:lang w:val="en-US" w:eastAsia="zh-CN"/>
        </w:rPr>
        <w:t>达到3次。</w:t>
      </w:r>
    </w:p>
    <w:p w14:paraId="3ABA143F">
      <w:pPr>
        <w:numPr>
          <w:ilvl w:val="-1"/>
          <w:numId w:val="0"/>
        </w:numPr>
        <w:shd w:val="clear"/>
        <w:tabs>
          <w:tab w:val="left" w:pos="1800"/>
        </w:tabs>
        <w:spacing w:beforeLines="0" w:afterLines="0" w:line="560" w:lineRule="exact"/>
        <w:ind w:firstLine="640" w:firstLineChars="200"/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val="en-US" w:eastAsia="zh-CN"/>
        </w:rPr>
        <w:t>7. 已注册电煤竞价平台的供应商与阶段退出的供应商</w:t>
      </w:r>
      <w:r>
        <w:rPr>
          <w:rFonts w:hint="eastAsia" w:ascii="仿宋_GB2312" w:hAnsi="仿宋" w:eastAsia="仿宋_GB2312" w:cs="仿宋"/>
          <w:bCs w:val="0"/>
          <w:color w:val="auto"/>
          <w:spacing w:val="0"/>
          <w:kern w:val="56"/>
          <w:sz w:val="32"/>
          <w:szCs w:val="32"/>
          <w:highlight w:val="none"/>
          <w:lang w:bidi="en-US"/>
        </w:rPr>
        <w:t>企业法定代表人或被授权人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val="en-US" w:eastAsia="zh-CN"/>
        </w:rPr>
        <w:t>有关联关系的。</w:t>
      </w:r>
    </w:p>
    <w:p w14:paraId="61F127A7">
      <w:pPr>
        <w:keepNext w:val="0"/>
        <w:keepLines w:val="0"/>
        <w:pageBreakBefore w:val="0"/>
        <w:shd w:val="clear"/>
        <w:tabs>
          <w:tab w:val="left" w:pos="12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 w:hAnsiTheme="minorHAnsi" w:cstheme="minorBidi"/>
          <w:b/>
          <w:bCs/>
          <w:color w:val="auto"/>
          <w:spacing w:val="0"/>
          <w:sz w:val="32"/>
          <w:szCs w:val="24"/>
          <w:highlight w:val="none"/>
        </w:rPr>
      </w:pPr>
      <w:r>
        <w:rPr>
          <w:rFonts w:hint="eastAsia" w:ascii="仿宋_GB2312" w:eastAsia="仿宋_GB2312" w:hAnsiTheme="minorHAnsi" w:cstheme="minorBidi"/>
          <w:b/>
          <w:bCs/>
          <w:color w:val="auto"/>
          <w:spacing w:val="0"/>
          <w:sz w:val="32"/>
          <w:szCs w:val="24"/>
          <w:highlight w:val="none"/>
        </w:rPr>
        <w:t>（</w:t>
      </w:r>
      <w:r>
        <w:rPr>
          <w:rFonts w:hint="eastAsia" w:ascii="仿宋_GB2312" w:eastAsia="仿宋_GB2312" w:cstheme="minorBidi"/>
          <w:b/>
          <w:bCs/>
          <w:color w:val="auto"/>
          <w:spacing w:val="0"/>
          <w:sz w:val="32"/>
          <w:szCs w:val="24"/>
          <w:highlight w:val="none"/>
          <w:lang w:eastAsia="zh-CN"/>
        </w:rPr>
        <w:t>三</w:t>
      </w:r>
      <w:r>
        <w:rPr>
          <w:rFonts w:hint="eastAsia" w:ascii="仿宋_GB2312" w:eastAsia="仿宋_GB2312" w:hAnsiTheme="minorHAnsi" w:cstheme="minorBidi"/>
          <w:b/>
          <w:bCs/>
          <w:color w:val="auto"/>
          <w:spacing w:val="0"/>
          <w:sz w:val="32"/>
          <w:szCs w:val="24"/>
          <w:highlight w:val="none"/>
        </w:rPr>
        <w:t>）永久退出</w:t>
      </w:r>
    </w:p>
    <w:p w14:paraId="2B3D963F">
      <w:pPr>
        <w:keepNext w:val="0"/>
        <w:keepLines w:val="0"/>
        <w:pageBreakBefore w:val="0"/>
        <w:shd w:val="clear"/>
        <w:tabs>
          <w:tab w:val="left" w:pos="12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inorHAnsi" w:cstheme="minorBidi"/>
          <w:color w:val="auto"/>
          <w:spacing w:val="0"/>
          <w:sz w:val="32"/>
          <w:szCs w:val="24"/>
          <w:highlight w:val="none"/>
        </w:rPr>
      </w:pPr>
      <w:r>
        <w:rPr>
          <w:rFonts w:hint="eastAsia" w:ascii="仿宋_GB2312" w:eastAsia="仿宋_GB2312" w:hAnsiTheme="minorHAnsi" w:cstheme="minorBidi"/>
          <w:color w:val="auto"/>
          <w:spacing w:val="0"/>
          <w:sz w:val="32"/>
          <w:szCs w:val="24"/>
          <w:highlight w:val="none"/>
        </w:rPr>
        <w:t>永久退出的电煤供应商须列入黑名单管理，不予重新办理准入手续，触发永久退出的条件如下：</w:t>
      </w:r>
    </w:p>
    <w:p w14:paraId="16962771">
      <w:pPr>
        <w:shd w:val="clear"/>
        <w:tabs>
          <w:tab w:val="left" w:pos="1800"/>
        </w:tabs>
        <w:spacing w:beforeLines="0" w:afterLines="0" w:line="560" w:lineRule="exact"/>
        <w:ind w:firstLine="640" w:firstLineChars="200"/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  <w:t>永久退出的电煤供应商须列入黑名单管理，不予重新办理准入手续，触发永久退出的条件如下：</w:t>
      </w:r>
    </w:p>
    <w:p w14:paraId="0651632E">
      <w:pPr>
        <w:numPr>
          <w:ilvl w:val="-1"/>
          <w:numId w:val="0"/>
        </w:numPr>
        <w:shd w:val="clear"/>
        <w:tabs>
          <w:tab w:val="left" w:pos="1800"/>
        </w:tabs>
        <w:spacing w:beforeLines="0" w:afterLines="0" w:line="560" w:lineRule="exact"/>
        <w:ind w:firstLine="640" w:firstLineChars="200"/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val="en-US" w:eastAsia="zh-CN"/>
        </w:rPr>
        <w:t xml:space="preserve">1. 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  <w:t>一个自然年内，因供应商原因，在入选后未签订煤炭购销合同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val="en-US" w:eastAsia="zh-CN"/>
        </w:rPr>
        <w:t>包括运输合同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  <w:t>累计2次。</w:t>
      </w:r>
    </w:p>
    <w:p w14:paraId="22F67D81">
      <w:pPr>
        <w:numPr>
          <w:ilvl w:val="-1"/>
          <w:numId w:val="0"/>
        </w:numPr>
        <w:shd w:val="clear"/>
        <w:tabs>
          <w:tab w:val="left" w:pos="1800"/>
        </w:tabs>
        <w:spacing w:beforeLines="0" w:afterLines="0" w:line="560" w:lineRule="exact"/>
        <w:ind w:firstLine="640" w:firstLineChars="200"/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val="en-US" w:eastAsia="zh-CN"/>
        </w:rPr>
        <w:t xml:space="preserve">2. 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  <w:t>一个自然年内，因供应商原因，在签订煤炭购销合同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val="en-US" w:eastAsia="zh-CN"/>
        </w:rPr>
        <w:t>包括运输合同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  <w:t>后未启动发运累计2次。</w:t>
      </w:r>
    </w:p>
    <w:p w14:paraId="7218B90E">
      <w:pPr>
        <w:numPr>
          <w:ilvl w:val="-1"/>
          <w:numId w:val="0"/>
        </w:numPr>
        <w:shd w:val="clear"/>
        <w:tabs>
          <w:tab w:val="left" w:pos="1800"/>
        </w:tabs>
        <w:spacing w:beforeLines="0" w:afterLines="0" w:line="560" w:lineRule="exact"/>
        <w:ind w:firstLine="640" w:firstLineChars="200"/>
        <w:rPr>
          <w:rFonts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val="en-US" w:eastAsia="zh-CN"/>
        </w:rPr>
        <w:t>3. 关联供应商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  <w:t>参与同一竞价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  <w:t>次。</w:t>
      </w:r>
    </w:p>
    <w:p w14:paraId="294792EB">
      <w:pPr>
        <w:shd w:val="clear"/>
        <w:tabs>
          <w:tab w:val="left" w:pos="1800"/>
        </w:tabs>
        <w:spacing w:beforeLines="0" w:afterLines="0" w:line="560" w:lineRule="exact"/>
        <w:ind w:firstLine="640" w:firstLineChars="200"/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val="en-US" w:eastAsia="zh-CN"/>
        </w:rPr>
        <w:t xml:space="preserve">4. 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  <w:t>单一供应商在同一竞价与其他供应商使用相同IP报价累计2次。</w:t>
      </w:r>
    </w:p>
    <w:p w14:paraId="33FAEFCD">
      <w:pPr>
        <w:shd w:val="clear"/>
        <w:tabs>
          <w:tab w:val="left" w:pos="1800"/>
        </w:tabs>
        <w:spacing w:beforeLines="0" w:afterLines="0" w:line="560" w:lineRule="exact"/>
        <w:ind w:firstLine="640" w:firstLineChars="200"/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val="en-US" w:eastAsia="zh-CN"/>
        </w:rPr>
        <w:t xml:space="preserve">5. 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  <w:t>资质材料弄虚作假，采用欺骗手段获得准入资格。</w:t>
      </w:r>
    </w:p>
    <w:p w14:paraId="6B41AF82">
      <w:pPr>
        <w:shd w:val="clear"/>
        <w:tabs>
          <w:tab w:val="left" w:pos="1800"/>
        </w:tabs>
        <w:spacing w:beforeLines="0" w:afterLines="0" w:line="560" w:lineRule="exact"/>
        <w:ind w:firstLine="640" w:firstLineChars="200"/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val="en-US" w:eastAsia="zh-CN"/>
        </w:rPr>
        <w:t xml:space="preserve">6. 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  <w:t>出现拉拢腐化有关工作人员，干扰验收工作等问题。</w:t>
      </w:r>
    </w:p>
    <w:p w14:paraId="5A075F4E">
      <w:pPr>
        <w:shd w:val="clear"/>
        <w:tabs>
          <w:tab w:val="left" w:pos="1800"/>
        </w:tabs>
        <w:spacing w:beforeLines="0" w:afterLines="0" w:line="560" w:lineRule="exact"/>
        <w:ind w:firstLine="640" w:firstLineChars="200"/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val="en-US" w:eastAsia="zh-CN"/>
        </w:rPr>
        <w:t xml:space="preserve">7. 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  <w:t>违反相关法律法规，贿赂、威胁或恐吓相关人员。</w:t>
      </w:r>
    </w:p>
    <w:p w14:paraId="457EE134">
      <w:pPr>
        <w:shd w:val="clear"/>
        <w:tabs>
          <w:tab w:val="left" w:pos="1800"/>
        </w:tabs>
        <w:spacing w:beforeLines="0" w:afterLines="0" w:line="560" w:lineRule="exact"/>
        <w:ind w:firstLine="640" w:firstLineChars="200"/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val="en-US" w:eastAsia="zh-CN"/>
        </w:rPr>
        <w:t xml:space="preserve">8. 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  <w:t>违反商业道德，发生掺杂使假行为，且情节较严重。</w:t>
      </w:r>
    </w:p>
    <w:p w14:paraId="4F8C351A">
      <w:pPr>
        <w:shd w:val="clear"/>
        <w:tabs>
          <w:tab w:val="left" w:pos="1800"/>
        </w:tabs>
        <w:spacing w:beforeLines="0" w:afterLines="0" w:line="560" w:lineRule="exact"/>
        <w:ind w:firstLine="640" w:firstLineChars="200"/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val="en-US" w:eastAsia="zh-CN"/>
        </w:rPr>
        <w:t xml:space="preserve">9. 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  <w:t>欺行霸市、串通其他电煤供应商，扰乱市场秩序。</w:t>
      </w:r>
    </w:p>
    <w:p w14:paraId="33CCACD3">
      <w:pPr>
        <w:keepNext w:val="0"/>
        <w:keepLines w:val="0"/>
        <w:pageBreakBefore w:val="0"/>
        <w:widowControl/>
        <w:shd w:val="clear"/>
        <w:tabs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val="en-US" w:eastAsia="zh-CN"/>
        </w:rPr>
        <w:t xml:space="preserve">10. 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</w:rPr>
        <w:t>发生其他违法或不诚信行为，给用煤单位造成较大损失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eastAsia="zh-CN"/>
        </w:rPr>
        <w:t>。</w:t>
      </w:r>
    </w:p>
    <w:p w14:paraId="3B17E0AF">
      <w:pPr>
        <w:keepNext w:val="0"/>
        <w:keepLines w:val="0"/>
        <w:pageBreakBefore w:val="0"/>
        <w:widowControl/>
        <w:numPr>
          <w:ilvl w:val="-1"/>
          <w:numId w:val="0"/>
        </w:numPr>
        <w:shd w:val="clear"/>
        <w:tabs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val="en-US" w:eastAsia="zh-CN"/>
        </w:rPr>
        <w:t>11. 供应的煤炭出现分层、包芯、铺底、分段等情况，认定为掺假使假的。</w:t>
      </w:r>
    </w:p>
    <w:p w14:paraId="4DE22A4D">
      <w:pPr>
        <w:keepNext w:val="0"/>
        <w:keepLines w:val="0"/>
        <w:pageBreakBefore w:val="0"/>
        <w:widowControl/>
        <w:numPr>
          <w:ilvl w:val="-1"/>
          <w:numId w:val="0"/>
        </w:numPr>
        <w:shd w:val="clear"/>
        <w:tabs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val="en-US" w:eastAsia="zh-CN"/>
        </w:rPr>
        <w:t>12. 已注册电煤竞价平台的供应商与永久退出的供应商</w:t>
      </w:r>
      <w:r>
        <w:rPr>
          <w:rFonts w:hint="default" w:ascii="仿宋_GB2312" w:hAnsi="仿宋" w:eastAsia="仿宋_GB2312" w:cs="仿宋"/>
          <w:bCs/>
          <w:color w:val="auto"/>
          <w:spacing w:val="0"/>
          <w:kern w:val="2"/>
          <w:sz w:val="32"/>
          <w:szCs w:val="32"/>
          <w:highlight w:val="none"/>
          <w:lang w:bidi="en-US"/>
        </w:rPr>
        <w:t>企业法定代表人或被授权人</w:t>
      </w:r>
      <w:r>
        <w:rPr>
          <w:rFonts w:hint="eastAsia" w:ascii="仿宋_GB2312" w:hAnsi="仿宋" w:eastAsia="仿宋_GB2312" w:cs="仿宋"/>
          <w:color w:val="auto"/>
          <w:spacing w:val="0"/>
          <w:kern w:val="56"/>
          <w:sz w:val="32"/>
          <w:szCs w:val="32"/>
          <w:highlight w:val="none"/>
          <w:lang w:val="en-US" w:eastAsia="zh-CN"/>
        </w:rPr>
        <w:t>有关联关系的。</w:t>
      </w:r>
    </w:p>
    <w:p w14:paraId="7C613607">
      <w:pPr>
        <w:keepNext w:val="0"/>
        <w:keepLines w:val="0"/>
        <w:pageBreakBefore w:val="0"/>
        <w:widowControl w:val="0"/>
        <w:tabs>
          <w:tab w:val="left" w:pos="12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黑体" w:hAnsi="黑体" w:eastAsia="黑体"/>
          <w:b/>
          <w:bCs/>
          <w:color w:val="auto"/>
          <w:spacing w:val="0"/>
          <w:sz w:val="32"/>
          <w:highlight w:val="none"/>
          <w:lang w:val="en-US"/>
        </w:rPr>
      </w:pPr>
      <w:r>
        <w:rPr>
          <w:rFonts w:hint="eastAsia" w:ascii="黑体" w:hAnsi="黑体" w:eastAsia="黑体"/>
          <w:b/>
          <w:bCs/>
          <w:color w:val="auto"/>
          <w:spacing w:val="0"/>
          <w:sz w:val="32"/>
          <w:highlight w:val="none"/>
          <w:lang w:val="en-US"/>
        </w:rPr>
        <w:t>十</w:t>
      </w:r>
      <w:r>
        <w:rPr>
          <w:rFonts w:hint="eastAsia" w:ascii="黑体" w:hAnsi="黑体" w:eastAsia="黑体"/>
          <w:b/>
          <w:bCs/>
          <w:color w:val="auto"/>
          <w:spacing w:val="0"/>
          <w:sz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/>
          <w:b/>
          <w:bCs/>
          <w:color w:val="auto"/>
          <w:spacing w:val="0"/>
          <w:sz w:val="32"/>
          <w:highlight w:val="none"/>
          <w:lang w:val="en-US"/>
        </w:rPr>
        <w:t>其他要求</w:t>
      </w:r>
    </w:p>
    <w:p w14:paraId="2CB65978">
      <w:pPr>
        <w:keepNext w:val="0"/>
        <w:keepLines w:val="0"/>
        <w:pageBreakBefore w:val="0"/>
        <w:widowControl w:val="0"/>
        <w:tabs>
          <w:tab w:val="left" w:pos="12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spacing w:val="0"/>
          <w:sz w:val="32"/>
          <w:highlight w:val="none"/>
        </w:rPr>
      </w:pP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（一）供应商在报价时，应充分考虑各种因素变化的风险，价格在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/>
        </w:rPr>
        <w:t>合同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执行期内不得因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运输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市场变化而变动。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中价单位承担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履行承运义务期间的全部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风险、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责任和义务。</w:t>
      </w:r>
    </w:p>
    <w:p w14:paraId="777F5C87">
      <w:pPr>
        <w:keepNext w:val="0"/>
        <w:keepLines w:val="0"/>
        <w:pageBreakBefore w:val="0"/>
        <w:widowControl w:val="0"/>
        <w:tabs>
          <w:tab w:val="left" w:pos="12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（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二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32"/>
          <w:szCs w:val="32"/>
          <w:highlight w:val="none"/>
        </w:rPr>
        <w:t>竞价文件及相关制度的解释权归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煤业物资公司。煤业物资公司</w:t>
      </w:r>
      <w:r>
        <w:rPr>
          <w:rFonts w:ascii="仿宋_GB2312" w:eastAsia="仿宋_GB2312"/>
          <w:color w:val="auto"/>
          <w:spacing w:val="0"/>
          <w:sz w:val="32"/>
          <w:highlight w:val="none"/>
        </w:rPr>
        <w:t>拥有修改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澄清竞价文件的权利，并将修改部分以书面形式通知所有潜在竞价单位。当竞价文件修改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澄清在同一内容的表达上不一致时以最后发出的竞价文件为准。</w:t>
      </w:r>
    </w:p>
    <w:p w14:paraId="0E4170BC">
      <w:pPr>
        <w:tabs>
          <w:tab w:val="left" w:pos="1279"/>
        </w:tabs>
        <w:autoSpaceDE w:val="0"/>
        <w:autoSpaceDN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（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  <w:lang w:val="en-US" w:eastAsia="zh-CN"/>
        </w:rPr>
        <w:t>三</w:t>
      </w:r>
      <w:r>
        <w:rPr>
          <w:rFonts w:hint="eastAsia" w:ascii="仿宋_GB2312" w:eastAsia="仿宋_GB2312"/>
          <w:color w:val="auto"/>
          <w:spacing w:val="0"/>
          <w:sz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如在竞价过程中发现有违规违纪现象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可拨打电话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举报或进行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信访，共同监督打造诚信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公平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公正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公开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竞争有序的外部市场环境，建立安全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稳定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共赢的供需合作关系。举报电话：0991-4882153，举报邮箱：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32"/>
          <w:szCs w:val="32"/>
          <w:highlight w:val="none"/>
        </w:rPr>
        <w:t>xjmywz-jdb@chd.com.cn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，信访举报箱位置：煤业物资公司大门左手处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办公楼一楼与二楼楼梯间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二楼与三楼楼梯间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。该举报渠道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专门受理煤业物资公司党员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员工涉嫌违纪违规行为的举报投诉。</w:t>
      </w:r>
    </w:p>
    <w:p w14:paraId="0AC9C01F">
      <w:pPr>
        <w:tabs>
          <w:tab w:val="left" w:pos="1279"/>
        </w:tabs>
        <w:autoSpaceDE w:val="0"/>
        <w:autoSpaceDN w:val="0"/>
        <w:ind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spacing w:val="-9"/>
          <w:sz w:val="32"/>
          <w:szCs w:val="32"/>
          <w:highlight w:val="none"/>
          <w:lang w:val="en-US" w:eastAsia="zh-CN"/>
        </w:rPr>
      </w:pPr>
    </w:p>
    <w:p w14:paraId="2DC9C250">
      <w:pPr>
        <w:tabs>
          <w:tab w:val="left" w:pos="1279"/>
        </w:tabs>
        <w:autoSpaceDE w:val="0"/>
        <w:autoSpaceDN w:val="0"/>
        <w:ind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spacing w:val="-9"/>
          <w:sz w:val="32"/>
          <w:szCs w:val="32"/>
          <w:highlight w:val="none"/>
          <w:lang w:val="en-US" w:eastAsia="zh-CN"/>
        </w:rPr>
      </w:pPr>
    </w:p>
    <w:p w14:paraId="0129991A">
      <w:pPr>
        <w:tabs>
          <w:tab w:val="left" w:pos="1279"/>
        </w:tabs>
        <w:autoSpaceDE w:val="0"/>
        <w:autoSpaceDN w:val="0"/>
        <w:ind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spacing w:val="-9"/>
          <w:sz w:val="32"/>
          <w:szCs w:val="32"/>
          <w:highlight w:val="none"/>
          <w:lang w:val="en-US" w:eastAsia="zh-CN"/>
        </w:rPr>
      </w:pPr>
    </w:p>
    <w:p w14:paraId="7E8F2889">
      <w:pPr>
        <w:tabs>
          <w:tab w:val="left" w:pos="1279"/>
        </w:tabs>
        <w:autoSpaceDE w:val="0"/>
        <w:autoSpaceDN w:val="0"/>
        <w:ind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pacing w:val="-9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9"/>
          <w:sz w:val="32"/>
          <w:szCs w:val="32"/>
          <w:highlight w:val="none"/>
          <w:lang w:val="en-US" w:eastAsia="zh-CN"/>
        </w:rPr>
        <w:t>煤业物资公司竞价服务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9"/>
          <w:sz w:val="32"/>
          <w:szCs w:val="32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9"/>
          <w:sz w:val="32"/>
          <w:szCs w:val="32"/>
          <w:highlight w:val="none"/>
          <w:lang w:val="en-US" w:eastAsia="zh-CN"/>
        </w:rPr>
        <w:t>陈建东、刘晶</w:t>
      </w:r>
    </w:p>
    <w:p w14:paraId="77FBCC2E">
      <w:pPr>
        <w:tabs>
          <w:tab w:val="left" w:pos="1279"/>
        </w:tabs>
        <w:autoSpaceDE w:val="0"/>
        <w:autoSpaceDN w:val="0"/>
        <w:ind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pacing w:val="-9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9"/>
          <w:sz w:val="32"/>
          <w:szCs w:val="32"/>
          <w:highlight w:val="none"/>
          <w:lang w:val="en-US" w:eastAsia="zh-CN"/>
        </w:rPr>
        <w:t>煤业物资公司联系电话：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9"/>
          <w:sz w:val="32"/>
          <w:szCs w:val="32"/>
          <w:highlight w:val="none"/>
          <w:lang w:val="en-US" w:eastAsia="zh-CN"/>
        </w:rPr>
        <w:t>0991-4882152</w:t>
      </w:r>
    </w:p>
    <w:p w14:paraId="1C99589C">
      <w:pPr>
        <w:tabs>
          <w:tab w:val="left" w:pos="1279"/>
        </w:tabs>
        <w:autoSpaceDE w:val="0"/>
        <w:autoSpaceDN w:val="0"/>
        <w:spacing w:line="560" w:lineRule="exact"/>
        <w:ind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pacing w:val="-9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9"/>
          <w:sz w:val="32"/>
          <w:szCs w:val="32"/>
          <w:highlight w:val="none"/>
          <w:lang w:val="en-US" w:eastAsia="zh-CN"/>
        </w:rPr>
        <w:t>需求单位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9"/>
          <w:sz w:val="32"/>
          <w:szCs w:val="32"/>
          <w:highlight w:val="none"/>
        </w:rPr>
        <w:t>联系人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9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9"/>
          <w:sz w:val="32"/>
          <w:szCs w:val="32"/>
          <w:highlight w:val="none"/>
          <w:lang w:val="en-US" w:eastAsia="zh-CN"/>
        </w:rPr>
        <w:t>谭元存</w:t>
      </w:r>
    </w:p>
    <w:p w14:paraId="7D758227">
      <w:pPr>
        <w:tabs>
          <w:tab w:val="left" w:pos="1279"/>
        </w:tabs>
        <w:autoSpaceDE w:val="0"/>
        <w:autoSpaceDN w:val="0"/>
        <w:spacing w:line="560" w:lineRule="exact"/>
        <w:ind w:firstLine="0" w:firstLineChars="0"/>
        <w:jc w:val="left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9"/>
          <w:sz w:val="32"/>
          <w:szCs w:val="32"/>
          <w:highlight w:val="none"/>
          <w:lang w:val="en-US" w:eastAsia="zh-CN"/>
        </w:rPr>
        <w:t>需求单位联系电话：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9"/>
          <w:sz w:val="32"/>
          <w:szCs w:val="32"/>
          <w:highlight w:val="none"/>
          <w:lang w:val="en-US" w:eastAsia="zh-CN"/>
        </w:rPr>
        <w:t>13679910661</w:t>
      </w:r>
    </w:p>
    <w:p w14:paraId="1715A58C">
      <w:pPr>
        <w:shd w:val="clear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17153AAB">
      <w:pPr>
        <w:shd w:val="clear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7497CF11">
      <w:pPr>
        <w:pStyle w:val="5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F0B76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1A679C">
                          <w:pPr>
                            <w:pStyle w:val="8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1A679C">
                    <w:pPr>
                      <w:pStyle w:val="8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83DC7"/>
    <w:rsid w:val="00233788"/>
    <w:rsid w:val="00611DCA"/>
    <w:rsid w:val="00736357"/>
    <w:rsid w:val="009E56F2"/>
    <w:rsid w:val="00E75713"/>
    <w:rsid w:val="0140086B"/>
    <w:rsid w:val="027F2D66"/>
    <w:rsid w:val="02E50229"/>
    <w:rsid w:val="030A718C"/>
    <w:rsid w:val="03C4282B"/>
    <w:rsid w:val="03CA3E5A"/>
    <w:rsid w:val="040B0E2B"/>
    <w:rsid w:val="046B7A69"/>
    <w:rsid w:val="04B86362"/>
    <w:rsid w:val="04F035A7"/>
    <w:rsid w:val="05376505"/>
    <w:rsid w:val="05F226EE"/>
    <w:rsid w:val="05F25B26"/>
    <w:rsid w:val="073F2CB4"/>
    <w:rsid w:val="07503853"/>
    <w:rsid w:val="07971701"/>
    <w:rsid w:val="07E757B0"/>
    <w:rsid w:val="08850B9A"/>
    <w:rsid w:val="089E7837"/>
    <w:rsid w:val="08C25CD8"/>
    <w:rsid w:val="09756E61"/>
    <w:rsid w:val="0A3C707C"/>
    <w:rsid w:val="0AC05BA9"/>
    <w:rsid w:val="0B106B59"/>
    <w:rsid w:val="0B8A4A3D"/>
    <w:rsid w:val="0BC22D1A"/>
    <w:rsid w:val="0C2E65B0"/>
    <w:rsid w:val="0C4020B8"/>
    <w:rsid w:val="0C560557"/>
    <w:rsid w:val="0DBE1BC2"/>
    <w:rsid w:val="0DFB45CE"/>
    <w:rsid w:val="0E446C11"/>
    <w:rsid w:val="0F824062"/>
    <w:rsid w:val="0FC151E5"/>
    <w:rsid w:val="10326A8C"/>
    <w:rsid w:val="10C05C73"/>
    <w:rsid w:val="10DB2680"/>
    <w:rsid w:val="12417C22"/>
    <w:rsid w:val="12542758"/>
    <w:rsid w:val="12577612"/>
    <w:rsid w:val="128D6FC9"/>
    <w:rsid w:val="12AC1335"/>
    <w:rsid w:val="13A34E7E"/>
    <w:rsid w:val="13BC686D"/>
    <w:rsid w:val="13DE3860"/>
    <w:rsid w:val="13F972F8"/>
    <w:rsid w:val="14423DE3"/>
    <w:rsid w:val="147D2067"/>
    <w:rsid w:val="148F527B"/>
    <w:rsid w:val="14C0111B"/>
    <w:rsid w:val="14FF57E0"/>
    <w:rsid w:val="15215DD4"/>
    <w:rsid w:val="15A208BF"/>
    <w:rsid w:val="1618304E"/>
    <w:rsid w:val="16346446"/>
    <w:rsid w:val="17926351"/>
    <w:rsid w:val="180019B1"/>
    <w:rsid w:val="18624641"/>
    <w:rsid w:val="18671E88"/>
    <w:rsid w:val="187D428A"/>
    <w:rsid w:val="18B410A1"/>
    <w:rsid w:val="18F13D88"/>
    <w:rsid w:val="19890F20"/>
    <w:rsid w:val="1A4461D3"/>
    <w:rsid w:val="1B38720B"/>
    <w:rsid w:val="1B680193"/>
    <w:rsid w:val="1B844E01"/>
    <w:rsid w:val="1B8C43ED"/>
    <w:rsid w:val="1C177601"/>
    <w:rsid w:val="1C8D3571"/>
    <w:rsid w:val="1CE31FEF"/>
    <w:rsid w:val="1D335530"/>
    <w:rsid w:val="1D3D080E"/>
    <w:rsid w:val="1D631F57"/>
    <w:rsid w:val="1D717DE4"/>
    <w:rsid w:val="1DBB00DD"/>
    <w:rsid w:val="1DC92E38"/>
    <w:rsid w:val="1E276C59"/>
    <w:rsid w:val="1E3649B9"/>
    <w:rsid w:val="1E7F3E8E"/>
    <w:rsid w:val="1E8B5C66"/>
    <w:rsid w:val="1EEE0E48"/>
    <w:rsid w:val="1EF00E33"/>
    <w:rsid w:val="1F103521"/>
    <w:rsid w:val="1F576138"/>
    <w:rsid w:val="1FD25822"/>
    <w:rsid w:val="1FED4BCB"/>
    <w:rsid w:val="1FF40688"/>
    <w:rsid w:val="203F4A14"/>
    <w:rsid w:val="20795E6D"/>
    <w:rsid w:val="20B12A29"/>
    <w:rsid w:val="20F05F1A"/>
    <w:rsid w:val="20FE437E"/>
    <w:rsid w:val="21053E68"/>
    <w:rsid w:val="214B720A"/>
    <w:rsid w:val="221A1EF2"/>
    <w:rsid w:val="22464B69"/>
    <w:rsid w:val="225C786D"/>
    <w:rsid w:val="227771E0"/>
    <w:rsid w:val="2290169F"/>
    <w:rsid w:val="22C60344"/>
    <w:rsid w:val="23006B54"/>
    <w:rsid w:val="231A3393"/>
    <w:rsid w:val="233019E9"/>
    <w:rsid w:val="23590694"/>
    <w:rsid w:val="23A75A11"/>
    <w:rsid w:val="24312146"/>
    <w:rsid w:val="24927969"/>
    <w:rsid w:val="258064C3"/>
    <w:rsid w:val="25890BE3"/>
    <w:rsid w:val="267A09BE"/>
    <w:rsid w:val="26CD23C6"/>
    <w:rsid w:val="270B2B27"/>
    <w:rsid w:val="27BA542B"/>
    <w:rsid w:val="27ED433A"/>
    <w:rsid w:val="288E3C91"/>
    <w:rsid w:val="28D503BE"/>
    <w:rsid w:val="29ED5888"/>
    <w:rsid w:val="29FD51D1"/>
    <w:rsid w:val="2B0C5847"/>
    <w:rsid w:val="2B6F3346"/>
    <w:rsid w:val="2B727341"/>
    <w:rsid w:val="2C0A0593"/>
    <w:rsid w:val="2C4E38B6"/>
    <w:rsid w:val="2D6F6834"/>
    <w:rsid w:val="2DB42624"/>
    <w:rsid w:val="2DCA5357"/>
    <w:rsid w:val="2DFE0923"/>
    <w:rsid w:val="2EC61441"/>
    <w:rsid w:val="2F4C770E"/>
    <w:rsid w:val="2F6A2C34"/>
    <w:rsid w:val="2FEE2BE5"/>
    <w:rsid w:val="2FF74AA0"/>
    <w:rsid w:val="30801D7D"/>
    <w:rsid w:val="30C95188"/>
    <w:rsid w:val="31AD6BAB"/>
    <w:rsid w:val="3292676C"/>
    <w:rsid w:val="33C45403"/>
    <w:rsid w:val="33C85C5B"/>
    <w:rsid w:val="346B5E11"/>
    <w:rsid w:val="34A73065"/>
    <w:rsid w:val="34A73A14"/>
    <w:rsid w:val="34D23635"/>
    <w:rsid w:val="34D33963"/>
    <w:rsid w:val="353B6609"/>
    <w:rsid w:val="357C0AAC"/>
    <w:rsid w:val="35FD43AC"/>
    <w:rsid w:val="36603B54"/>
    <w:rsid w:val="36B11E58"/>
    <w:rsid w:val="37325ABA"/>
    <w:rsid w:val="37675BEE"/>
    <w:rsid w:val="37F106C6"/>
    <w:rsid w:val="37F16D18"/>
    <w:rsid w:val="38325088"/>
    <w:rsid w:val="39096059"/>
    <w:rsid w:val="391C49B8"/>
    <w:rsid w:val="39EE5E13"/>
    <w:rsid w:val="3A182AD4"/>
    <w:rsid w:val="3A43227E"/>
    <w:rsid w:val="3AE17DF3"/>
    <w:rsid w:val="3AEF4379"/>
    <w:rsid w:val="3BD737E4"/>
    <w:rsid w:val="3C783DC7"/>
    <w:rsid w:val="3C8D2095"/>
    <w:rsid w:val="3CCF30D1"/>
    <w:rsid w:val="3CE353E2"/>
    <w:rsid w:val="3D0230F5"/>
    <w:rsid w:val="3DAE3C00"/>
    <w:rsid w:val="3E135399"/>
    <w:rsid w:val="3EA6661C"/>
    <w:rsid w:val="3ECC364E"/>
    <w:rsid w:val="3F46538F"/>
    <w:rsid w:val="3F837B61"/>
    <w:rsid w:val="3FBF13C5"/>
    <w:rsid w:val="3FD8510B"/>
    <w:rsid w:val="40362AC3"/>
    <w:rsid w:val="407E2195"/>
    <w:rsid w:val="40CA401A"/>
    <w:rsid w:val="411A39E1"/>
    <w:rsid w:val="412374ED"/>
    <w:rsid w:val="417022B7"/>
    <w:rsid w:val="419848DC"/>
    <w:rsid w:val="41AC3525"/>
    <w:rsid w:val="41BF086E"/>
    <w:rsid w:val="423D370A"/>
    <w:rsid w:val="429F0735"/>
    <w:rsid w:val="42BE5275"/>
    <w:rsid w:val="42E93FFE"/>
    <w:rsid w:val="43180441"/>
    <w:rsid w:val="44583521"/>
    <w:rsid w:val="445E053F"/>
    <w:rsid w:val="44CF22DE"/>
    <w:rsid w:val="450155C4"/>
    <w:rsid w:val="455B4C61"/>
    <w:rsid w:val="45D16BF2"/>
    <w:rsid w:val="463D66CA"/>
    <w:rsid w:val="46960B34"/>
    <w:rsid w:val="46BF6A4A"/>
    <w:rsid w:val="47060B1D"/>
    <w:rsid w:val="47765B7F"/>
    <w:rsid w:val="47B276EE"/>
    <w:rsid w:val="47CD6BD8"/>
    <w:rsid w:val="47EE4F53"/>
    <w:rsid w:val="47F01FDD"/>
    <w:rsid w:val="48403D01"/>
    <w:rsid w:val="48894D7A"/>
    <w:rsid w:val="48B34F23"/>
    <w:rsid w:val="491717F3"/>
    <w:rsid w:val="492A7BC3"/>
    <w:rsid w:val="498C1010"/>
    <w:rsid w:val="4A194640"/>
    <w:rsid w:val="4A431F9C"/>
    <w:rsid w:val="4A617F3A"/>
    <w:rsid w:val="4A621263"/>
    <w:rsid w:val="4AB4263E"/>
    <w:rsid w:val="4B4F2D9B"/>
    <w:rsid w:val="4B685902"/>
    <w:rsid w:val="4B840EE1"/>
    <w:rsid w:val="4C4A05EE"/>
    <w:rsid w:val="4C7E2F03"/>
    <w:rsid w:val="4CA51888"/>
    <w:rsid w:val="4CA763A0"/>
    <w:rsid w:val="4CB858EC"/>
    <w:rsid w:val="4D5C7F7A"/>
    <w:rsid w:val="4DFB397D"/>
    <w:rsid w:val="4ED4610C"/>
    <w:rsid w:val="4FC74BC1"/>
    <w:rsid w:val="4FD10ADB"/>
    <w:rsid w:val="4FD87093"/>
    <w:rsid w:val="502B287F"/>
    <w:rsid w:val="50783668"/>
    <w:rsid w:val="510B7212"/>
    <w:rsid w:val="51494C84"/>
    <w:rsid w:val="514D6F40"/>
    <w:rsid w:val="51BF289B"/>
    <w:rsid w:val="51E347C2"/>
    <w:rsid w:val="51E62FF3"/>
    <w:rsid w:val="526C20D3"/>
    <w:rsid w:val="52BD4EAA"/>
    <w:rsid w:val="53A16198"/>
    <w:rsid w:val="53A808D6"/>
    <w:rsid w:val="53B673D7"/>
    <w:rsid w:val="54200035"/>
    <w:rsid w:val="543F648D"/>
    <w:rsid w:val="54800835"/>
    <w:rsid w:val="548B4B6D"/>
    <w:rsid w:val="54A30D10"/>
    <w:rsid w:val="550F143F"/>
    <w:rsid w:val="552114B7"/>
    <w:rsid w:val="55F8786C"/>
    <w:rsid w:val="56433986"/>
    <w:rsid w:val="564C7BCE"/>
    <w:rsid w:val="57323C2A"/>
    <w:rsid w:val="57535512"/>
    <w:rsid w:val="575A6B18"/>
    <w:rsid w:val="576C1E60"/>
    <w:rsid w:val="578E7148"/>
    <w:rsid w:val="57A6708D"/>
    <w:rsid w:val="57F57795"/>
    <w:rsid w:val="581F468F"/>
    <w:rsid w:val="58AE4B9E"/>
    <w:rsid w:val="58E74429"/>
    <w:rsid w:val="58FB12AF"/>
    <w:rsid w:val="591B3204"/>
    <w:rsid w:val="5A1476CC"/>
    <w:rsid w:val="5A4076D1"/>
    <w:rsid w:val="5B311DDF"/>
    <w:rsid w:val="5B984EDD"/>
    <w:rsid w:val="5BEE2640"/>
    <w:rsid w:val="5C380A39"/>
    <w:rsid w:val="5C6E2884"/>
    <w:rsid w:val="5CA969C6"/>
    <w:rsid w:val="5CD437F9"/>
    <w:rsid w:val="5D0A24B4"/>
    <w:rsid w:val="5D0A2939"/>
    <w:rsid w:val="5D504448"/>
    <w:rsid w:val="5DF82331"/>
    <w:rsid w:val="5E0750ED"/>
    <w:rsid w:val="5E7C0BC0"/>
    <w:rsid w:val="5EC324D8"/>
    <w:rsid w:val="5EF97A8F"/>
    <w:rsid w:val="5F374EE2"/>
    <w:rsid w:val="5F6879F3"/>
    <w:rsid w:val="5F9A0301"/>
    <w:rsid w:val="60007E32"/>
    <w:rsid w:val="604A1623"/>
    <w:rsid w:val="60905D78"/>
    <w:rsid w:val="614562D3"/>
    <w:rsid w:val="618F340F"/>
    <w:rsid w:val="61C176DF"/>
    <w:rsid w:val="61D2149C"/>
    <w:rsid w:val="61EF2CCB"/>
    <w:rsid w:val="61FC692E"/>
    <w:rsid w:val="62652FA6"/>
    <w:rsid w:val="628E4724"/>
    <w:rsid w:val="62DC7B44"/>
    <w:rsid w:val="63003B6C"/>
    <w:rsid w:val="632120A4"/>
    <w:rsid w:val="63615A0A"/>
    <w:rsid w:val="636673A6"/>
    <w:rsid w:val="64D771FD"/>
    <w:rsid w:val="64D958D7"/>
    <w:rsid w:val="65201A40"/>
    <w:rsid w:val="6595587C"/>
    <w:rsid w:val="66E6297C"/>
    <w:rsid w:val="66EE0A89"/>
    <w:rsid w:val="67185D5B"/>
    <w:rsid w:val="67256806"/>
    <w:rsid w:val="67590950"/>
    <w:rsid w:val="67A631F1"/>
    <w:rsid w:val="67ED5321"/>
    <w:rsid w:val="683D62F8"/>
    <w:rsid w:val="68641874"/>
    <w:rsid w:val="688E1C9E"/>
    <w:rsid w:val="68E846F4"/>
    <w:rsid w:val="68EB660B"/>
    <w:rsid w:val="69165CAD"/>
    <w:rsid w:val="6968109D"/>
    <w:rsid w:val="697E05AE"/>
    <w:rsid w:val="69B933E7"/>
    <w:rsid w:val="69D34B42"/>
    <w:rsid w:val="6A2627B9"/>
    <w:rsid w:val="6A4B6B99"/>
    <w:rsid w:val="6AA8559A"/>
    <w:rsid w:val="6AE1297D"/>
    <w:rsid w:val="6B081CC6"/>
    <w:rsid w:val="6B3B6738"/>
    <w:rsid w:val="6C871713"/>
    <w:rsid w:val="6C935749"/>
    <w:rsid w:val="6CFD6700"/>
    <w:rsid w:val="6D275C48"/>
    <w:rsid w:val="6D30715E"/>
    <w:rsid w:val="6D8C7D95"/>
    <w:rsid w:val="6D910891"/>
    <w:rsid w:val="6E33532B"/>
    <w:rsid w:val="6E74729F"/>
    <w:rsid w:val="6EFB21B8"/>
    <w:rsid w:val="6F29498A"/>
    <w:rsid w:val="6F372A17"/>
    <w:rsid w:val="6F604D61"/>
    <w:rsid w:val="70CA0EA6"/>
    <w:rsid w:val="714B34C7"/>
    <w:rsid w:val="714C2349"/>
    <w:rsid w:val="72206DDB"/>
    <w:rsid w:val="724B7BF9"/>
    <w:rsid w:val="726F7BC9"/>
    <w:rsid w:val="7371131E"/>
    <w:rsid w:val="73E159A2"/>
    <w:rsid w:val="742941F0"/>
    <w:rsid w:val="7458261E"/>
    <w:rsid w:val="745C0323"/>
    <w:rsid w:val="74C444B4"/>
    <w:rsid w:val="74FD5AD9"/>
    <w:rsid w:val="75060D55"/>
    <w:rsid w:val="756C44E1"/>
    <w:rsid w:val="757626F4"/>
    <w:rsid w:val="75DB716B"/>
    <w:rsid w:val="767D7B65"/>
    <w:rsid w:val="76B57C9F"/>
    <w:rsid w:val="76BF5DE3"/>
    <w:rsid w:val="76DF4B75"/>
    <w:rsid w:val="771A1B41"/>
    <w:rsid w:val="787768D5"/>
    <w:rsid w:val="795C1D3E"/>
    <w:rsid w:val="79C13DE5"/>
    <w:rsid w:val="79C31A6A"/>
    <w:rsid w:val="7AAB4757"/>
    <w:rsid w:val="7ADC162D"/>
    <w:rsid w:val="7B293640"/>
    <w:rsid w:val="7B432FC7"/>
    <w:rsid w:val="7B470757"/>
    <w:rsid w:val="7B7B6F90"/>
    <w:rsid w:val="7BCB1F85"/>
    <w:rsid w:val="7BF068D3"/>
    <w:rsid w:val="7C946722"/>
    <w:rsid w:val="7D5A5EE0"/>
    <w:rsid w:val="7E48416E"/>
    <w:rsid w:val="7E55504E"/>
    <w:rsid w:val="7E8B29F7"/>
    <w:rsid w:val="7EF40901"/>
    <w:rsid w:val="7F0320E3"/>
    <w:rsid w:val="7F393F07"/>
    <w:rsid w:val="7F8F1EB3"/>
    <w:rsid w:val="7FD74593"/>
    <w:rsid w:val="7FE75FEB"/>
    <w:rsid w:val="7FEE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left="0" w:right="0" w:firstLine="42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paragraph" w:styleId="5">
    <w:name w:val="Normal Indent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lock Text"/>
    <w:basedOn w:val="1"/>
    <w:qFormat/>
    <w:uiPriority w:val="0"/>
    <w:pPr>
      <w:spacing w:after="120"/>
      <w:ind w:left="1440" w:leftChars="700" w:right="1440" w:rightChars="700"/>
      <w:jc w:val="both"/>
    </w:pPr>
    <w:rPr>
      <w:rFonts w:ascii="Times New Roman" w:hAnsi="Times New Roman" w:eastAsia="仿宋_GB2312" w:cs="Times New Roman"/>
      <w:kern w:val="2"/>
      <w:sz w:val="28"/>
      <w:szCs w:val="20"/>
      <w:lang w:eastAsia="zh-CN"/>
    </w:rPr>
  </w:style>
  <w:style w:type="paragraph" w:styleId="8">
    <w:name w:val="footer"/>
    <w:basedOn w:val="1"/>
    <w:next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样式 附件标题 + 段前: 0.5 行 段后: 1.5 行"/>
    <w:basedOn w:val="1"/>
    <w:qFormat/>
    <w:uiPriority w:val="0"/>
    <w:pPr>
      <w:spacing w:line="280" w:lineRule="exact"/>
    </w:pPr>
    <w:rPr>
      <w:rFonts w:ascii="宋体"/>
      <w:color w:val="000000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4"/>
      <w:szCs w:val="24"/>
      <w:lang w:val="en-US" w:eastAsia="zh-CN" w:bidi="ar"/>
    </w:rPr>
  </w:style>
  <w:style w:type="paragraph" w:customStyle="1" w:styleId="14">
    <w:name w:val="_Style 1"/>
    <w:basedOn w:val="1"/>
    <w:qFormat/>
    <w:uiPriority w:val="0"/>
    <w:pPr>
      <w:ind w:left="380" w:hanging="202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716</Words>
  <Characters>741</Characters>
  <Lines>0</Lines>
  <Paragraphs>0</Paragraphs>
  <TotalTime>0</TotalTime>
  <ScaleCrop>false</ScaleCrop>
  <LinksUpToDate>false</LinksUpToDate>
  <CharactersWithSpaces>758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2025-09-08T01:56:00Z</dcterms:created>
  <dc:creator>林瑞平</dc:creator>
  <cp:lastModifiedBy>俱少磊</cp:lastModifiedBy>
  <dcterms:modified xsi:type="dcterms:W3CDTF">2025-09-17T08:36:12Z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8CC836D25ADE42FFA5AC6A256BFCE03B_13</vt:lpwstr>
  </property>
  <property fmtid="{D5CDD505-2E9C-101B-9397-08002B2CF9AE}" pid="4" name="KSOTemplateDocerSaveRecord">
    <vt:lpwstr>eyJoZGlkIjoiODFjM2E5ZmVjNDlhZmIyYmEwMGNlZDAxOWUwZjIzMzEiLCJ1c2VySWQiOiIzODEwODY2NDkifQ==</vt:lpwstr>
  </property>
</Properties>
</file>