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B010B3">
      <w:pPr>
        <w:shd w:val="clear"/>
        <w:jc w:val="center"/>
        <w:rPr>
          <w:rFonts w:hint="eastAsia" w:ascii="黑体" w:hAnsi="黑体" w:eastAsia="黑体"/>
          <w:b/>
          <w:bCs/>
          <w:color w:val="auto"/>
          <w:spacing w:val="0"/>
          <w:sz w:val="44"/>
          <w:szCs w:val="44"/>
          <w:highlight w:val="none"/>
          <w:shd w:val="clear" w:color="auto" w:fill="auto"/>
        </w:rPr>
      </w:pPr>
      <w:r>
        <w:rPr>
          <w:rFonts w:hint="eastAsia" w:ascii="黑体" w:hAnsi="黑体" w:eastAsia="黑体"/>
          <w:b/>
          <w:bCs/>
          <w:color w:val="auto"/>
          <w:spacing w:val="0"/>
          <w:sz w:val="44"/>
          <w:szCs w:val="44"/>
          <w:highlight w:val="none"/>
          <w:shd w:val="clear" w:color="auto" w:fill="auto"/>
          <w:lang w:val="en-US" w:eastAsia="zh-CN"/>
        </w:rPr>
        <w:t>煤炭运输</w:t>
      </w:r>
      <w:r>
        <w:rPr>
          <w:rFonts w:hint="eastAsia" w:ascii="黑体" w:hAnsi="黑体" w:eastAsia="黑体"/>
          <w:b/>
          <w:bCs/>
          <w:color w:val="auto"/>
          <w:spacing w:val="0"/>
          <w:sz w:val="44"/>
          <w:szCs w:val="44"/>
          <w:highlight w:val="none"/>
          <w:shd w:val="clear" w:color="auto" w:fill="auto"/>
          <w:lang w:eastAsia="zh-CN"/>
        </w:rPr>
        <w:t>竞</w:t>
      </w:r>
      <w:r>
        <w:rPr>
          <w:rFonts w:hint="eastAsia" w:ascii="黑体" w:hAnsi="黑体" w:eastAsia="黑体"/>
          <w:b/>
          <w:bCs/>
          <w:color w:val="auto"/>
          <w:spacing w:val="0"/>
          <w:sz w:val="44"/>
          <w:szCs w:val="44"/>
          <w:highlight w:val="none"/>
          <w:shd w:val="clear" w:color="auto" w:fill="auto"/>
        </w:rPr>
        <w:t>价采购公告</w:t>
      </w:r>
    </w:p>
    <w:p w14:paraId="5698D9D9">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olor w:val="auto"/>
          <w:spacing w:val="0"/>
          <w:sz w:val="32"/>
          <w:highlight w:val="none"/>
        </w:rPr>
      </w:pPr>
      <w:r>
        <w:rPr>
          <w:rFonts w:hint="eastAsia" w:ascii="仿宋_GB2312" w:hAnsi="仿宋_GB2312" w:eastAsia="仿宋_GB2312" w:cs="仿宋_GB2312"/>
          <w:spacing w:val="0"/>
          <w:sz w:val="32"/>
          <w:szCs w:val="32"/>
        </w:rPr>
        <w:t>新疆华电煤业物资有限公司</w:t>
      </w:r>
      <w:r>
        <w:rPr>
          <w:rFonts w:hint="eastAsia" w:ascii="仿宋_GB2312" w:eastAsia="仿宋_GB2312" w:hAnsiTheme="minorHAnsi" w:cstheme="minorBidi"/>
          <w:color w:val="auto"/>
          <w:spacing w:val="0"/>
          <w:sz w:val="32"/>
          <w:szCs w:val="24"/>
          <w:highlight w:val="none"/>
        </w:rPr>
        <w:t>（以下简称煤业物资公司）</w:t>
      </w:r>
      <w:r>
        <w:rPr>
          <w:rFonts w:hint="eastAsia" w:ascii="仿宋_GB2312" w:eastAsia="仿宋_GB2312"/>
          <w:color w:val="auto"/>
          <w:spacing w:val="0"/>
          <w:sz w:val="32"/>
          <w:highlight w:val="none"/>
          <w:lang w:val="en-US" w:eastAsia="zh-CN"/>
        </w:rPr>
        <w:t>对</w:t>
      </w:r>
      <w:r>
        <w:rPr>
          <w:rFonts w:hint="eastAsia" w:ascii="仿宋_GB2312" w:hAnsi="仿宋_GB2312" w:eastAsia="仿宋_GB2312" w:cs="仿宋_GB2312"/>
          <w:spacing w:val="0"/>
          <w:sz w:val="32"/>
          <w:szCs w:val="32"/>
          <w:shd w:val="clear"/>
        </w:rPr>
        <w:t>华电</w:t>
      </w:r>
      <w:r>
        <w:rPr>
          <w:rFonts w:hint="eastAsia" w:ascii="仿宋_GB2312" w:eastAsia="仿宋_GB2312"/>
          <w:color w:val="auto"/>
          <w:spacing w:val="0"/>
          <w:sz w:val="32"/>
          <w:highlight w:val="none"/>
          <w:u w:val="single"/>
          <w:shd w:val="clear"/>
          <w:lang w:val="en-US" w:eastAsia="zh-CN"/>
        </w:rPr>
        <w:t>各</w:t>
      </w:r>
      <w:r>
        <w:rPr>
          <w:rFonts w:hint="eastAsia" w:ascii="仿宋_GB2312" w:eastAsia="仿宋_GB2312"/>
          <w:color w:val="auto"/>
          <w:spacing w:val="0"/>
          <w:sz w:val="32"/>
          <w:highlight w:val="none"/>
          <w:shd w:val="clear"/>
          <w:lang w:val="en-US"/>
        </w:rPr>
        <w:t>公司</w:t>
      </w:r>
      <w:r>
        <w:rPr>
          <w:rFonts w:hint="eastAsia" w:ascii="仿宋_GB2312" w:eastAsia="仿宋_GB2312"/>
          <w:bCs/>
          <w:color w:val="auto"/>
          <w:spacing w:val="0"/>
          <w:sz w:val="32"/>
          <w:szCs w:val="32"/>
          <w:highlight w:val="none"/>
          <w:shd w:val="clear"/>
          <w:lang w:val="en-US"/>
        </w:rPr>
        <w:t>2</w:t>
      </w:r>
      <w:r>
        <w:rPr>
          <w:rFonts w:ascii="仿宋_GB2312" w:eastAsia="仿宋_GB2312"/>
          <w:bCs/>
          <w:color w:val="auto"/>
          <w:spacing w:val="0"/>
          <w:sz w:val="32"/>
          <w:szCs w:val="32"/>
          <w:highlight w:val="none"/>
          <w:shd w:val="clear"/>
          <w:lang w:val="en-US"/>
        </w:rPr>
        <w:t>0</w:t>
      </w:r>
      <w:r>
        <w:rPr>
          <w:rFonts w:hint="eastAsia" w:ascii="仿宋_GB2312" w:eastAsia="仿宋_GB2312"/>
          <w:bCs/>
          <w:color w:val="auto"/>
          <w:spacing w:val="0"/>
          <w:sz w:val="32"/>
          <w:szCs w:val="32"/>
          <w:highlight w:val="none"/>
          <w:shd w:val="clear"/>
          <w:lang w:val="en-US" w:eastAsia="zh-CN"/>
        </w:rPr>
        <w:t>25</w:t>
      </w:r>
      <w:r>
        <w:rPr>
          <w:rFonts w:hint="eastAsia" w:ascii="仿宋_GB2312" w:eastAsia="仿宋_GB2312"/>
          <w:color w:val="auto"/>
          <w:spacing w:val="0"/>
          <w:sz w:val="32"/>
          <w:highlight w:val="none"/>
          <w:shd w:val="clear"/>
          <w:lang w:val="en-US"/>
        </w:rPr>
        <w:t>年</w:t>
      </w:r>
      <w:r>
        <w:rPr>
          <w:rFonts w:hint="eastAsia" w:ascii="仿宋_GB2312" w:eastAsia="仿宋_GB2312"/>
          <w:color w:val="auto"/>
          <w:spacing w:val="0"/>
          <w:sz w:val="32"/>
          <w:highlight w:val="none"/>
          <w:shd w:val="clear"/>
          <w:lang w:val="en-US" w:eastAsia="zh-CN"/>
        </w:rPr>
        <w:t>10月</w:t>
      </w:r>
      <w:r>
        <w:rPr>
          <w:rFonts w:hint="eastAsia" w:ascii="仿宋_GB2312" w:hAnsi="仿宋_GB2312" w:eastAsia="仿宋_GB2312" w:cs="仿宋_GB2312"/>
          <w:sz w:val="32"/>
          <w:szCs w:val="32"/>
          <w:lang w:val="en-US" w:eastAsia="zh-CN"/>
        </w:rPr>
        <w:t>至2026年3月31日，新域</w:t>
      </w:r>
      <w:r>
        <w:rPr>
          <w:rFonts w:hint="eastAsia" w:ascii="仿宋_GB2312" w:eastAsia="仿宋_GB2312"/>
          <w:color w:val="auto"/>
          <w:spacing w:val="0"/>
          <w:sz w:val="32"/>
          <w:highlight w:val="none"/>
          <w:shd w:val="clear"/>
          <w:lang w:val="en-US" w:eastAsia="zh-CN"/>
        </w:rPr>
        <w:t>煤矿</w:t>
      </w:r>
      <w:r>
        <w:rPr>
          <w:rFonts w:hint="eastAsia" w:ascii="仿宋_GB2312" w:hAnsi="仿宋_GB2312" w:eastAsia="仿宋_GB2312"/>
          <w:bCs/>
          <w:spacing w:val="0"/>
          <w:sz w:val="32"/>
          <w:szCs w:val="32"/>
          <w:u w:val="single"/>
          <w:lang w:val="en-US" w:eastAsia="zh-CN"/>
        </w:rPr>
        <w:t>汽车</w:t>
      </w:r>
      <w:r>
        <w:rPr>
          <w:rFonts w:hint="eastAsia" w:ascii="仿宋_GB2312" w:eastAsia="仿宋_GB2312"/>
          <w:color w:val="auto"/>
          <w:spacing w:val="0"/>
          <w:sz w:val="32"/>
          <w:highlight w:val="none"/>
          <w:shd w:val="clear"/>
          <w:lang w:val="en-US" w:eastAsia="zh-CN"/>
        </w:rPr>
        <w:t>运输服务</w:t>
      </w:r>
      <w:r>
        <w:rPr>
          <w:rFonts w:hint="eastAsia" w:ascii="仿宋_GB2312" w:eastAsia="仿宋_GB2312"/>
          <w:color w:val="auto"/>
          <w:spacing w:val="0"/>
          <w:sz w:val="32"/>
          <w:szCs w:val="32"/>
          <w:highlight w:val="none"/>
          <w:shd w:val="clear"/>
        </w:rPr>
        <w:t>进行平台竞价</w:t>
      </w:r>
      <w:r>
        <w:rPr>
          <w:rFonts w:hint="eastAsia" w:ascii="仿宋_GB2312" w:eastAsia="仿宋_GB2312"/>
          <w:color w:val="auto"/>
          <w:spacing w:val="0"/>
          <w:sz w:val="32"/>
          <w:szCs w:val="32"/>
          <w:highlight w:val="none"/>
          <w:shd w:val="clear"/>
          <w:lang w:val="en-US"/>
        </w:rPr>
        <w:t>采购</w:t>
      </w:r>
      <w:r>
        <w:rPr>
          <w:rFonts w:hint="eastAsia" w:ascii="仿宋_GB2312" w:eastAsia="仿宋_GB2312"/>
          <w:color w:val="auto"/>
          <w:spacing w:val="0"/>
          <w:sz w:val="32"/>
          <w:szCs w:val="32"/>
          <w:highlight w:val="none"/>
          <w:shd w:val="clear"/>
        </w:rPr>
        <w:t>，现公开邀</w:t>
      </w:r>
      <w:r>
        <w:rPr>
          <w:rFonts w:hint="eastAsia" w:ascii="仿宋_GB2312" w:eastAsia="仿宋_GB2312"/>
          <w:color w:val="auto"/>
          <w:spacing w:val="0"/>
          <w:sz w:val="32"/>
          <w:highlight w:val="none"/>
          <w:shd w:val="clear"/>
        </w:rPr>
        <w:t>请符合条件的</w:t>
      </w:r>
      <w:r>
        <w:rPr>
          <w:rFonts w:hint="eastAsia" w:ascii="仿宋_GB2312" w:eastAsia="仿宋_GB2312"/>
          <w:color w:val="auto"/>
          <w:spacing w:val="0"/>
          <w:sz w:val="32"/>
          <w:highlight w:val="none"/>
          <w:shd w:val="clear"/>
          <w:lang w:val="en-US" w:eastAsia="zh-CN"/>
        </w:rPr>
        <w:t>供应商</w:t>
      </w:r>
      <w:r>
        <w:rPr>
          <w:rFonts w:hint="eastAsia" w:ascii="仿宋_GB2312" w:eastAsia="仿宋_GB2312"/>
          <w:color w:val="auto"/>
          <w:spacing w:val="0"/>
          <w:sz w:val="32"/>
          <w:highlight w:val="none"/>
          <w:shd w:val="clear"/>
        </w:rPr>
        <w:t>参加。</w:t>
      </w:r>
    </w:p>
    <w:p w14:paraId="5A9AB566">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textAlignment w:val="auto"/>
        <w:rPr>
          <w:rFonts w:ascii="黑体" w:hAnsi="黑体" w:eastAsia="黑体"/>
          <w:color w:val="auto"/>
          <w:spacing w:val="0"/>
          <w:sz w:val="32"/>
          <w:highlight w:val="none"/>
        </w:rPr>
      </w:pPr>
      <w:r>
        <w:rPr>
          <w:rFonts w:hint="eastAsia" w:ascii="黑体" w:hAnsi="黑体" w:eastAsia="黑体"/>
          <w:b/>
          <w:bCs/>
          <w:color w:val="auto"/>
          <w:spacing w:val="0"/>
          <w:sz w:val="32"/>
          <w:highlight w:val="none"/>
        </w:rPr>
        <w:t>一</w:t>
      </w:r>
      <w:r>
        <w:rPr>
          <w:rFonts w:hint="eastAsia" w:ascii="黑体" w:hAnsi="黑体" w:eastAsia="黑体"/>
          <w:b/>
          <w:bCs/>
          <w:color w:val="auto"/>
          <w:spacing w:val="0"/>
          <w:sz w:val="32"/>
          <w:highlight w:val="none"/>
          <w:lang w:eastAsia="zh-CN"/>
        </w:rPr>
        <w:t>、</w:t>
      </w:r>
      <w:r>
        <w:rPr>
          <w:rFonts w:hint="eastAsia" w:ascii="黑体" w:hAnsi="黑体" w:eastAsia="黑体"/>
          <w:b/>
          <w:bCs/>
          <w:color w:val="auto"/>
          <w:spacing w:val="0"/>
          <w:sz w:val="32"/>
          <w:highlight w:val="none"/>
          <w:lang w:val="en-US" w:eastAsia="zh-CN"/>
        </w:rPr>
        <w:t>需求</w:t>
      </w:r>
      <w:r>
        <w:rPr>
          <w:rFonts w:hint="eastAsia" w:ascii="黑体" w:hAnsi="黑体" w:eastAsia="黑体"/>
          <w:b/>
          <w:bCs/>
          <w:color w:val="auto"/>
          <w:spacing w:val="0"/>
          <w:sz w:val="32"/>
          <w:highlight w:val="none"/>
        </w:rPr>
        <w:t>单位</w:t>
      </w:r>
    </w:p>
    <w:p w14:paraId="23B847B8">
      <w:pPr>
        <w:keepNext w:val="0"/>
        <w:keepLines w:val="0"/>
        <w:pageBreakBefore w:val="0"/>
        <w:widowControl w:val="0"/>
        <w:numPr>
          <w:ilvl w:val="0"/>
          <w:numId w:val="0"/>
        </w:numPr>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szCs w:val="32"/>
          <w:highlight w:val="none"/>
          <w:lang w:val="en-US" w:eastAsia="zh-CN"/>
        </w:rPr>
      </w:pPr>
      <w:r>
        <w:rPr>
          <w:rFonts w:hint="eastAsia" w:ascii="仿宋_GB2312" w:eastAsia="仿宋_GB2312"/>
          <w:color w:val="auto"/>
          <w:spacing w:val="0"/>
          <w:sz w:val="32"/>
          <w:highlight w:val="none"/>
          <w:shd w:val="clear"/>
          <w:lang w:val="en-US" w:eastAsia="zh-CN"/>
        </w:rPr>
        <w:t>华电各火电公司</w:t>
      </w:r>
    </w:p>
    <w:p w14:paraId="3E50B298">
      <w:pPr>
        <w:keepNext w:val="0"/>
        <w:keepLines w:val="0"/>
        <w:pageBreakBefore w:val="0"/>
        <w:widowControl w:val="0"/>
        <w:numPr>
          <w:ilvl w:val="0"/>
          <w:numId w:val="0"/>
        </w:numPr>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hint="eastAsia" w:ascii="黑体" w:hAnsi="黑体" w:eastAsia="黑体"/>
          <w:b/>
          <w:bCs/>
          <w:color w:val="auto"/>
          <w:spacing w:val="0"/>
          <w:sz w:val="32"/>
          <w:highlight w:val="none"/>
          <w:lang w:val="en-US" w:eastAsia="zh-CN"/>
        </w:rPr>
      </w:pPr>
      <w:r>
        <w:rPr>
          <w:rFonts w:hint="eastAsia" w:ascii="黑体" w:hAnsi="黑体" w:eastAsia="黑体"/>
          <w:b/>
          <w:bCs/>
          <w:color w:val="auto"/>
          <w:spacing w:val="0"/>
          <w:sz w:val="32"/>
          <w:highlight w:val="none"/>
          <w:lang w:val="en-US" w:eastAsia="zh-CN"/>
        </w:rPr>
        <w:t>二、交货地点</w:t>
      </w:r>
    </w:p>
    <w:p w14:paraId="575F51EB">
      <w:pPr>
        <w:keepNext w:val="0"/>
        <w:keepLines w:val="0"/>
        <w:pageBreakBefore w:val="0"/>
        <w:widowControl w:val="0"/>
        <w:numPr>
          <w:ilvl w:val="0"/>
          <w:numId w:val="0"/>
        </w:numPr>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default" w:ascii="黑体" w:hAnsi="黑体" w:eastAsia="黑体"/>
          <w:b/>
          <w:bCs/>
          <w:color w:val="auto"/>
          <w:spacing w:val="0"/>
          <w:sz w:val="32"/>
          <w:highlight w:val="none"/>
          <w:lang w:val="en-US" w:eastAsia="zh-CN"/>
        </w:rPr>
      </w:pPr>
      <w:r>
        <w:rPr>
          <w:rFonts w:hint="eastAsia" w:ascii="仿宋_GB2312" w:eastAsia="仿宋_GB2312"/>
          <w:color w:val="auto"/>
          <w:spacing w:val="0"/>
          <w:sz w:val="32"/>
          <w:highlight w:val="none"/>
          <w:shd w:val="clear"/>
          <w:lang w:val="en-US" w:eastAsia="zh-CN"/>
        </w:rPr>
        <w:t>华电各火电公司</w:t>
      </w:r>
      <w:r>
        <w:rPr>
          <w:rFonts w:hint="eastAsia" w:ascii="仿宋_GB2312" w:eastAsia="仿宋_GB2312"/>
          <w:color w:val="auto"/>
          <w:spacing w:val="0"/>
          <w:sz w:val="32"/>
          <w:szCs w:val="32"/>
          <w:highlight w:val="none"/>
          <w:lang w:val="en-US" w:eastAsia="zh-CN"/>
        </w:rPr>
        <w:t>指定煤场</w:t>
      </w:r>
    </w:p>
    <w:p w14:paraId="5EEE5CF0">
      <w:pPr>
        <w:keepNext w:val="0"/>
        <w:keepLines w:val="0"/>
        <w:pageBreakBefore w:val="0"/>
        <w:widowControl w:val="0"/>
        <w:numPr>
          <w:ilvl w:val="0"/>
          <w:numId w:val="0"/>
        </w:numPr>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hint="default"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三、运输要求</w:t>
      </w:r>
    </w:p>
    <w:tbl>
      <w:tblPr>
        <w:tblStyle w:val="9"/>
        <w:tblW w:w="505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448"/>
        <w:gridCol w:w="1448"/>
        <w:gridCol w:w="1448"/>
        <w:gridCol w:w="1918"/>
        <w:gridCol w:w="2360"/>
      </w:tblGrid>
      <w:tr w14:paraId="18B326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2" w:hRule="atLeast"/>
          <w:tblHeader/>
          <w:jc w:val="center"/>
        </w:trPr>
        <w:tc>
          <w:tcPr>
            <w:tcW w:w="839" w:type="pct"/>
            <w:tcBorders>
              <w:top w:val="single" w:color="auto" w:sz="4" w:space="0"/>
              <w:left w:val="single" w:color="auto" w:sz="4" w:space="0"/>
              <w:bottom w:val="single" w:color="auto" w:sz="4" w:space="0"/>
              <w:right w:val="single" w:color="auto" w:sz="4" w:space="0"/>
            </w:tcBorders>
            <w:noWrap w:val="0"/>
            <w:vAlign w:val="center"/>
          </w:tcPr>
          <w:p w14:paraId="590E9DD9">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电厂名称</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6F7B5582">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煤矿名称</w:t>
            </w:r>
          </w:p>
        </w:tc>
        <w:tc>
          <w:tcPr>
            <w:tcW w:w="839" w:type="pct"/>
            <w:tcBorders>
              <w:top w:val="single" w:color="auto" w:sz="4" w:space="0"/>
              <w:left w:val="single" w:color="auto" w:sz="4" w:space="0"/>
              <w:bottom w:val="single" w:color="auto" w:sz="4" w:space="0"/>
              <w:right w:val="single" w:color="auto" w:sz="4" w:space="0"/>
            </w:tcBorders>
            <w:noWrap w:val="0"/>
            <w:vAlign w:val="center"/>
          </w:tcPr>
          <w:p w14:paraId="5AC14670">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运输方式</w:t>
            </w:r>
          </w:p>
        </w:tc>
        <w:tc>
          <w:tcPr>
            <w:tcW w:w="1112" w:type="pct"/>
            <w:tcBorders>
              <w:top w:val="single" w:color="auto" w:sz="4" w:space="0"/>
              <w:left w:val="single" w:color="auto" w:sz="4" w:space="0"/>
              <w:bottom w:val="single" w:color="auto" w:sz="4" w:space="0"/>
              <w:right w:val="single" w:color="auto" w:sz="4" w:space="0"/>
            </w:tcBorders>
            <w:noWrap w:val="0"/>
            <w:vAlign w:val="center"/>
          </w:tcPr>
          <w:p w14:paraId="465E9E3E">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运输采购数量（万吨）</w:t>
            </w:r>
          </w:p>
        </w:tc>
        <w:tc>
          <w:tcPr>
            <w:tcW w:w="1368" w:type="pct"/>
            <w:tcBorders>
              <w:top w:val="single" w:color="auto" w:sz="4" w:space="0"/>
              <w:left w:val="single" w:color="auto" w:sz="4" w:space="0"/>
              <w:bottom w:val="single" w:color="auto" w:sz="4" w:space="0"/>
              <w:right w:val="single" w:color="auto" w:sz="4" w:space="0"/>
            </w:tcBorders>
            <w:noWrap w:val="0"/>
            <w:vAlign w:val="center"/>
          </w:tcPr>
          <w:p w14:paraId="68DCD839">
            <w:pPr>
              <w:keepNext w:val="0"/>
              <w:keepLines w:val="0"/>
              <w:pageBreakBefore w:val="0"/>
              <w:widowControl w:val="0"/>
              <w:shd w:val="clear" w:color="auto" w:fill="auto"/>
              <w:kinsoku/>
              <w:wordWrap/>
              <w:overflowPunct/>
              <w:topLinePunct w:val="0"/>
              <w:autoSpaceDE/>
              <w:autoSpaceDN/>
              <w:bidi w:val="0"/>
              <w:adjustRightInd/>
              <w:snapToGrid w:val="0"/>
              <w:spacing w:line="240" w:lineRule="auto"/>
              <w:jc w:val="center"/>
              <w:textAlignment w:val="auto"/>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车型要求</w:t>
            </w:r>
          </w:p>
        </w:tc>
      </w:tr>
      <w:tr w14:paraId="7F288A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4B3BBCF">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米东热电公司</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3D91FABB">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新域矿</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3672DB2">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公路运输</w:t>
            </w:r>
          </w:p>
        </w:tc>
        <w:tc>
          <w:tcPr>
            <w:tcW w:w="11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4E2274F">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9</w:t>
            </w:r>
          </w:p>
        </w:tc>
        <w:tc>
          <w:tcPr>
            <w:tcW w:w="13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6872575">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1、无卸车费用。</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2、100%新能源车型。</w:t>
            </w:r>
          </w:p>
        </w:tc>
      </w:tr>
      <w:tr w14:paraId="488EF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92B0F4F">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阜康热电公司</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775863B">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新域矿</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48B909D4">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公路运输</w:t>
            </w:r>
          </w:p>
        </w:tc>
        <w:tc>
          <w:tcPr>
            <w:tcW w:w="11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6CD1C09">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w:t>
            </w:r>
          </w:p>
        </w:tc>
        <w:tc>
          <w:tcPr>
            <w:tcW w:w="13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D97EF50">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1、无卸车费用。</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2、车型要求自卸车。</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3、100%清洁能源车型，新能源车型占比不低于70%。</w:t>
            </w:r>
          </w:p>
        </w:tc>
      </w:tr>
      <w:tr w14:paraId="23408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C9E8588">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高昌热电公司</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2C06B9E8">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新域矿</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73D8CC77">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公路运输</w:t>
            </w:r>
          </w:p>
        </w:tc>
        <w:tc>
          <w:tcPr>
            <w:tcW w:w="11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3753887">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61</w:t>
            </w:r>
          </w:p>
        </w:tc>
        <w:tc>
          <w:tcPr>
            <w:tcW w:w="13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5EE84644">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1、无卸车费用。</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2、车型要求自卸车。</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3、100%清洁能源车型，新能源车型占比不低于40%。</w:t>
            </w:r>
          </w:p>
        </w:tc>
      </w:tr>
      <w:tr w14:paraId="17DFA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35" w:hRule="atLeast"/>
          <w:jc w:val="center"/>
        </w:trPr>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6B0A28B6">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哈密热电公司</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22B157">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新域矿</w:t>
            </w:r>
          </w:p>
        </w:tc>
        <w:tc>
          <w:tcPr>
            <w:tcW w:w="839"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3F76112">
            <w:pPr>
              <w:keepNext w:val="0"/>
              <w:keepLines w:val="0"/>
              <w:pageBreakBefore w:val="0"/>
              <w:widowControl/>
              <w:suppressLineNumbers w:val="0"/>
              <w:kinsoku/>
              <w:wordWrap/>
              <w:overflowPunct/>
              <w:topLinePunct w:val="0"/>
              <w:autoSpaceDE/>
              <w:autoSpaceDN/>
              <w:bidi w:val="0"/>
              <w:adjustRightInd/>
              <w:snapToGrid w:val="0"/>
              <w:spacing w:line="300" w:lineRule="exact"/>
              <w:ind w:left="0" w:leftChars="0" w:firstLine="0" w:firstLineChars="0"/>
              <w:jc w:val="center"/>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公路运输</w:t>
            </w:r>
          </w:p>
        </w:tc>
        <w:tc>
          <w:tcPr>
            <w:tcW w:w="1112"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F77B1BB">
            <w:pPr>
              <w:keepNext w:val="0"/>
              <w:keepLines w:val="0"/>
              <w:pageBreakBefore w:val="0"/>
              <w:widowControl/>
              <w:suppressLineNumbers w:val="0"/>
              <w:kinsoku/>
              <w:wordWrap/>
              <w:overflowPunct/>
              <w:topLinePunct w:val="0"/>
              <w:autoSpaceDE/>
              <w:autoSpaceDN/>
              <w:bidi w:val="0"/>
              <w:adjustRightInd/>
              <w:snapToGrid w:val="0"/>
              <w:spacing w:line="300" w:lineRule="exact"/>
              <w:jc w:val="center"/>
              <w:textAlignment w:val="center"/>
              <w:rPr>
                <w:rFonts w:hint="default" w:ascii="仿宋_GB2312" w:hAnsi="仿宋_GB2312" w:eastAsia="仿宋_GB2312" w:cs="仿宋_GB2312"/>
                <w:b w:val="0"/>
                <w:bCs w:val="0"/>
                <w:i w:val="0"/>
                <w:color w:val="auto"/>
                <w:kern w:val="0"/>
                <w:sz w:val="24"/>
                <w:szCs w:val="24"/>
                <w:highlight w:val="none"/>
                <w:u w:val="none"/>
                <w:lang w:val="en-US" w:eastAsia="zh-CN" w:bidi="ar"/>
              </w:rPr>
            </w:pPr>
            <w:r>
              <w:rPr>
                <w:rFonts w:hint="eastAsia" w:ascii="仿宋_GB2312" w:hAnsi="仿宋_GB2312" w:eastAsia="仿宋_GB2312" w:cs="仿宋_GB2312"/>
                <w:b w:val="0"/>
                <w:bCs w:val="0"/>
                <w:i w:val="0"/>
                <w:color w:val="auto"/>
                <w:kern w:val="0"/>
                <w:sz w:val="24"/>
                <w:szCs w:val="24"/>
                <w:highlight w:val="none"/>
                <w:u w:val="none"/>
                <w:lang w:val="en-US" w:eastAsia="zh-CN" w:bidi="ar"/>
              </w:rPr>
              <w:t>18</w:t>
            </w:r>
          </w:p>
        </w:tc>
        <w:tc>
          <w:tcPr>
            <w:tcW w:w="1368" w:type="pct"/>
            <w:tcBorders>
              <w:top w:val="single" w:color="auto" w:sz="4" w:space="0"/>
              <w:left w:val="single" w:color="auto" w:sz="4" w:space="0"/>
              <w:bottom w:val="single" w:color="auto" w:sz="4" w:space="0"/>
              <w:right w:val="single" w:color="auto" w:sz="4" w:space="0"/>
            </w:tcBorders>
            <w:shd w:val="clear" w:color="auto" w:fill="auto"/>
            <w:noWrap w:val="0"/>
            <w:vAlign w:val="center"/>
          </w:tcPr>
          <w:p w14:paraId="0095D00C">
            <w:pPr>
              <w:keepNext w:val="0"/>
              <w:keepLines w:val="0"/>
              <w:widowControl/>
              <w:suppressLineNumbers w:val="0"/>
              <w:ind w:left="0" w:leftChars="0" w:firstLine="0" w:firstLineChars="0"/>
              <w:jc w:val="left"/>
              <w:textAlignment w:val="center"/>
              <w:rPr>
                <w:rFonts w:hint="eastAsia" w:ascii="仿宋_GB2312" w:hAnsi="仿宋_GB2312" w:eastAsia="仿宋_GB2312" w:cs="仿宋_GB2312"/>
                <w:i w:val="0"/>
                <w:color w:val="auto"/>
                <w:kern w:val="0"/>
                <w:sz w:val="24"/>
                <w:szCs w:val="24"/>
                <w:u w:val="none"/>
                <w:lang w:val="en-US" w:eastAsia="zh-CN" w:bidi="ar"/>
              </w:rPr>
            </w:pPr>
            <w:r>
              <w:rPr>
                <w:rFonts w:hint="eastAsia" w:ascii="仿宋_GB2312" w:hAnsi="仿宋_GB2312" w:eastAsia="仿宋_GB2312" w:cs="仿宋_GB2312"/>
                <w:i w:val="0"/>
                <w:color w:val="auto"/>
                <w:kern w:val="0"/>
                <w:sz w:val="24"/>
                <w:szCs w:val="24"/>
                <w:u w:val="none"/>
                <w:lang w:val="en-US" w:eastAsia="zh-CN" w:bidi="ar"/>
              </w:rPr>
              <w:t>1、无卸车费用。</w:t>
            </w:r>
            <w:r>
              <w:rPr>
                <w:rFonts w:hint="eastAsia" w:ascii="仿宋_GB2312" w:hAnsi="仿宋_GB2312" w:eastAsia="仿宋_GB2312" w:cs="仿宋_GB2312"/>
                <w:i w:val="0"/>
                <w:color w:val="auto"/>
                <w:kern w:val="0"/>
                <w:sz w:val="24"/>
                <w:szCs w:val="24"/>
                <w:u w:val="none"/>
                <w:lang w:val="en-US" w:eastAsia="zh-CN" w:bidi="ar"/>
              </w:rPr>
              <w:br w:type="textWrapping"/>
            </w:r>
            <w:r>
              <w:rPr>
                <w:rFonts w:hint="eastAsia" w:ascii="仿宋_GB2312" w:hAnsi="仿宋_GB2312" w:eastAsia="仿宋_GB2312" w:cs="仿宋_GB2312"/>
                <w:i w:val="0"/>
                <w:color w:val="auto"/>
                <w:kern w:val="0"/>
                <w:sz w:val="24"/>
                <w:szCs w:val="24"/>
                <w:u w:val="none"/>
                <w:lang w:val="en-US" w:eastAsia="zh-CN" w:bidi="ar"/>
              </w:rPr>
              <w:t>2、国五以上车型，清洁能源车型占比不低于50%。</w:t>
            </w:r>
          </w:p>
        </w:tc>
      </w:tr>
    </w:tbl>
    <w:p w14:paraId="5E393F07">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left="0" w:leftChars="0" w:right="0" w:rightChars="0" w:firstLine="643" w:firstLineChars="200"/>
        <w:jc w:val="both"/>
        <w:textAlignment w:val="auto"/>
        <w:outlineLvl w:val="9"/>
        <w:rPr>
          <w:rFonts w:hint="eastAsia" w:ascii="仿宋_GB2312" w:hAnsi="仿宋_GB2312" w:eastAsia="仿宋_GB2312" w:cs="仿宋_GB2312"/>
          <w:b/>
          <w:bCs/>
          <w:color w:val="auto"/>
          <w:spacing w:val="0"/>
          <w:sz w:val="32"/>
          <w:highlight w:val="none"/>
          <w:lang w:val="en-US" w:eastAsia="zh-CN"/>
        </w:rPr>
      </w:pPr>
      <w:r>
        <w:rPr>
          <w:rFonts w:hint="eastAsia" w:ascii="仿宋_GB2312" w:hAnsi="仿宋_GB2312" w:eastAsia="仿宋_GB2312" w:cs="仿宋_GB2312"/>
          <w:b/>
          <w:bCs/>
          <w:color w:val="auto"/>
          <w:spacing w:val="0"/>
          <w:sz w:val="32"/>
          <w:highlight w:val="none"/>
          <w:lang w:val="en-US" w:eastAsia="zh-CN"/>
        </w:rPr>
        <w:t>特别提示：</w:t>
      </w:r>
    </w:p>
    <w:p w14:paraId="128E9D05">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 xml:space="preserve">1. </w:t>
      </w:r>
      <w:r>
        <w:rPr>
          <w:rFonts w:hint="eastAsia" w:ascii="仿宋_GB2312" w:hAnsi="仿宋_GB2312" w:eastAsia="仿宋_GB2312" w:cs="仿宋_GB2312"/>
          <w:b w:val="0"/>
          <w:bCs w:val="0"/>
          <w:color w:val="auto"/>
          <w:spacing w:val="0"/>
          <w:sz w:val="32"/>
          <w:highlight w:val="none"/>
          <w:lang w:val="en-US" w:eastAsia="zh-CN"/>
        </w:rPr>
        <w:t>公告采购量为暂定量</w:t>
      </w:r>
      <w:r>
        <w:rPr>
          <w:rFonts w:hint="eastAsia" w:ascii="仿宋_GB2312" w:hAnsi="仿宋_GB2312" w:eastAsia="仿宋_GB2312" w:cs="仿宋_GB2312"/>
          <w:b w:val="0"/>
          <w:bCs w:val="0"/>
          <w:color w:val="auto"/>
          <w:spacing w:val="0"/>
          <w:sz w:val="32"/>
          <w:szCs w:val="32"/>
          <w:highlight w:val="none"/>
          <w:lang w:val="en-US" w:eastAsia="zh-CN"/>
        </w:rPr>
        <w:t>，具体调运数量以</w:t>
      </w:r>
      <w:r>
        <w:rPr>
          <w:rFonts w:hint="eastAsia" w:ascii="仿宋_GB2312" w:eastAsia="仿宋_GB2312"/>
          <w:color w:val="auto"/>
          <w:spacing w:val="0"/>
          <w:sz w:val="32"/>
          <w:szCs w:val="32"/>
          <w:highlight w:val="none"/>
          <w:u w:val="single"/>
          <w:lang w:val="en-US" w:eastAsia="zh-CN"/>
        </w:rPr>
        <w:t>煤业物资</w:t>
      </w:r>
      <w:r>
        <w:rPr>
          <w:rFonts w:hint="eastAsia" w:ascii="仿宋_GB2312" w:eastAsia="仿宋_GB2312"/>
          <w:color w:val="auto"/>
          <w:spacing w:val="0"/>
          <w:sz w:val="32"/>
          <w:szCs w:val="32"/>
          <w:highlight w:val="none"/>
          <w:lang w:val="en-US" w:eastAsia="zh-CN"/>
        </w:rPr>
        <w:t>公司</w:t>
      </w:r>
      <w:r>
        <w:rPr>
          <w:rFonts w:hint="eastAsia" w:ascii="仿宋_GB2312" w:hAnsi="仿宋_GB2312" w:eastAsia="仿宋_GB2312" w:cs="仿宋_GB2312"/>
          <w:b w:val="0"/>
          <w:bCs w:val="0"/>
          <w:color w:val="auto"/>
          <w:spacing w:val="0"/>
          <w:sz w:val="32"/>
          <w:szCs w:val="32"/>
          <w:highlight w:val="none"/>
          <w:lang w:val="en-US" w:eastAsia="zh-CN"/>
        </w:rPr>
        <w:t>通知为准，中价供应商要严格执行</w:t>
      </w:r>
      <w:r>
        <w:rPr>
          <w:rFonts w:hint="eastAsia" w:ascii="仿宋_GB2312" w:eastAsia="仿宋_GB2312"/>
          <w:color w:val="auto"/>
          <w:spacing w:val="0"/>
          <w:sz w:val="32"/>
          <w:szCs w:val="32"/>
          <w:highlight w:val="none"/>
          <w:u w:val="single"/>
          <w:lang w:val="en-US" w:eastAsia="zh-CN"/>
        </w:rPr>
        <w:t>煤业物资</w:t>
      </w:r>
      <w:r>
        <w:rPr>
          <w:rFonts w:hint="eastAsia" w:ascii="仿宋_GB2312" w:eastAsia="仿宋_GB2312"/>
          <w:color w:val="auto"/>
          <w:spacing w:val="0"/>
          <w:sz w:val="32"/>
          <w:szCs w:val="32"/>
          <w:highlight w:val="none"/>
          <w:lang w:val="en-US" w:eastAsia="zh-CN"/>
        </w:rPr>
        <w:t>公司</w:t>
      </w:r>
      <w:r>
        <w:rPr>
          <w:rFonts w:hint="eastAsia" w:ascii="仿宋_GB2312" w:hAnsi="仿宋_GB2312" w:eastAsia="仿宋_GB2312" w:cs="仿宋_GB2312"/>
          <w:b w:val="0"/>
          <w:bCs w:val="0"/>
          <w:color w:val="auto"/>
          <w:spacing w:val="0"/>
          <w:sz w:val="32"/>
          <w:szCs w:val="32"/>
          <w:highlight w:val="none"/>
          <w:lang w:val="en-US" w:eastAsia="zh-CN"/>
        </w:rPr>
        <w:t>的调运计划。</w:t>
      </w:r>
    </w:p>
    <w:p w14:paraId="1A7CF3C2">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val="0"/>
          <w:bCs w:val="0"/>
          <w:spacing w:val="0"/>
          <w:sz w:val="32"/>
          <w:szCs w:val="32"/>
          <w:highlight w:val="none"/>
        </w:rPr>
      </w:pPr>
      <w:r>
        <w:rPr>
          <w:rFonts w:hint="eastAsia" w:ascii="仿宋_GB2312" w:hAnsi="仿宋_GB2312" w:eastAsia="仿宋_GB2312" w:cs="仿宋_GB2312"/>
          <w:b w:val="0"/>
          <w:bCs w:val="0"/>
          <w:color w:val="auto"/>
          <w:spacing w:val="0"/>
          <w:sz w:val="32"/>
          <w:szCs w:val="32"/>
          <w:highlight w:val="none"/>
          <w:lang w:val="en-US" w:eastAsia="zh-CN"/>
        </w:rPr>
        <w:t xml:space="preserve">2. </w:t>
      </w:r>
      <w:r>
        <w:rPr>
          <w:rFonts w:hint="eastAsia" w:ascii="仿宋_GB2312" w:hAnsi="仿宋_GB2312" w:eastAsia="仿宋_GB2312" w:cs="仿宋_GB2312"/>
          <w:b w:val="0"/>
          <w:bCs w:val="0"/>
          <w:spacing w:val="0"/>
          <w:sz w:val="32"/>
          <w:szCs w:val="32"/>
          <w:highlight w:val="none"/>
        </w:rPr>
        <w:t>每家供应商投标数量</w:t>
      </w:r>
      <w:r>
        <w:rPr>
          <w:rFonts w:hint="eastAsia" w:ascii="仿宋_GB2312" w:hAnsi="仿宋_GB2312" w:eastAsia="仿宋_GB2312" w:cs="仿宋_GB2312"/>
          <w:b w:val="0"/>
          <w:bCs w:val="0"/>
          <w:spacing w:val="0"/>
          <w:sz w:val="32"/>
          <w:szCs w:val="32"/>
          <w:highlight w:val="none"/>
          <w:lang w:val="en-US" w:eastAsia="zh-CN"/>
        </w:rPr>
        <w:t>必须为运输采购</w:t>
      </w:r>
      <w:r>
        <w:rPr>
          <w:rFonts w:hint="eastAsia" w:ascii="仿宋_GB2312" w:hAnsi="仿宋_GB2312" w:eastAsia="仿宋_GB2312" w:cs="仿宋_GB2312"/>
          <w:b w:val="0"/>
          <w:bCs w:val="0"/>
          <w:spacing w:val="0"/>
          <w:sz w:val="32"/>
          <w:szCs w:val="32"/>
          <w:highlight w:val="none"/>
        </w:rPr>
        <w:t>总量</w:t>
      </w:r>
      <w:r>
        <w:rPr>
          <w:rFonts w:hint="eastAsia" w:ascii="仿宋_GB2312" w:hAnsi="仿宋_GB2312" w:eastAsia="仿宋_GB2312" w:cs="仿宋_GB2312"/>
          <w:b w:val="0"/>
          <w:bCs w:val="0"/>
          <w:spacing w:val="0"/>
          <w:sz w:val="32"/>
          <w:szCs w:val="32"/>
          <w:highlight w:val="none"/>
          <w:lang w:eastAsia="zh-CN"/>
        </w:rPr>
        <w:t>，</w:t>
      </w:r>
      <w:r>
        <w:rPr>
          <w:rFonts w:hint="eastAsia" w:ascii="仿宋_GB2312" w:hAnsi="仿宋_GB2312" w:eastAsia="仿宋_GB2312" w:cs="仿宋_GB2312"/>
          <w:b w:val="0"/>
          <w:bCs w:val="0"/>
          <w:spacing w:val="0"/>
          <w:sz w:val="32"/>
          <w:szCs w:val="32"/>
          <w:highlight w:val="none"/>
        </w:rPr>
        <w:t>如有违反</w:t>
      </w:r>
      <w:r>
        <w:rPr>
          <w:rFonts w:hint="eastAsia" w:ascii="仿宋_GB2312" w:hAnsi="仿宋_GB2312" w:eastAsia="仿宋_GB2312" w:cs="仿宋_GB2312"/>
          <w:b w:val="0"/>
          <w:bCs w:val="0"/>
          <w:spacing w:val="0"/>
          <w:sz w:val="32"/>
          <w:szCs w:val="32"/>
          <w:highlight w:val="none"/>
          <w:lang w:eastAsia="zh-CN"/>
        </w:rPr>
        <w:t>，报价</w:t>
      </w:r>
      <w:r>
        <w:rPr>
          <w:rFonts w:hint="eastAsia" w:ascii="仿宋_GB2312" w:hAnsi="仿宋_GB2312" w:eastAsia="仿宋_GB2312" w:cs="仿宋_GB2312"/>
          <w:b w:val="0"/>
          <w:bCs w:val="0"/>
          <w:spacing w:val="0"/>
          <w:sz w:val="32"/>
          <w:szCs w:val="32"/>
          <w:highlight w:val="none"/>
        </w:rPr>
        <w:t>无效。</w:t>
      </w:r>
    </w:p>
    <w:p w14:paraId="47B160D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default"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b w:val="0"/>
          <w:bCs w:val="0"/>
          <w:color w:val="auto"/>
          <w:spacing w:val="0"/>
          <w:sz w:val="32"/>
          <w:szCs w:val="32"/>
          <w:highlight w:val="none"/>
          <w:lang w:val="en-US" w:eastAsia="zh-CN"/>
        </w:rPr>
        <w:t>3. 运输车辆必须符合国家及地方最新规定的排放标准。投标单位应充分考虑合同执行过程中的政策变化情况，如环保政策等，严格按照符合各项政策要求的车型安排运输车辆，如因政策要求必须使用新能源车辆，运输单位必须严格执行。</w:t>
      </w:r>
    </w:p>
    <w:p w14:paraId="38ABE3A8">
      <w:pPr>
        <w:spacing w:line="560" w:lineRule="exact"/>
        <w:ind w:firstLine="640" w:firstLineChars="200"/>
        <w:jc w:val="left"/>
        <w:rPr>
          <w:rFonts w:hint="eastAsia" w:ascii="仿宋_GB2312" w:hAnsi="仿宋_GB2312" w:eastAsia="仿宋_GB2312" w:cs="仿宋_GB2312"/>
          <w:bCs/>
          <w:color w:val="000000"/>
          <w:spacing w:val="0"/>
          <w:sz w:val="32"/>
          <w:szCs w:val="32"/>
          <w:highlight w:val="none"/>
          <w:lang w:eastAsia="zh-CN"/>
        </w:rPr>
      </w:pPr>
      <w:r>
        <w:rPr>
          <w:rFonts w:hint="eastAsia" w:ascii="仿宋_GB2312" w:hAnsi="仿宋_GB2312" w:eastAsia="仿宋_GB2312"/>
          <w:bCs/>
          <w:color w:val="auto"/>
          <w:spacing w:val="0"/>
          <w:sz w:val="32"/>
          <w:szCs w:val="32"/>
          <w:highlight w:val="none"/>
          <w:lang w:val="en-US" w:eastAsia="zh-CN"/>
        </w:rPr>
        <w:t xml:space="preserve">4. </w:t>
      </w:r>
      <w:r>
        <w:rPr>
          <w:rFonts w:hint="eastAsia" w:ascii="仿宋_GB2312" w:hAnsi="仿宋_GB2312" w:eastAsia="仿宋_GB2312" w:cs="仿宋_GB2312"/>
          <w:b w:val="0"/>
          <w:bCs/>
          <w:color w:val="000000"/>
          <w:spacing w:val="0"/>
          <w:sz w:val="32"/>
          <w:szCs w:val="32"/>
          <w:highlight w:val="none"/>
        </w:rPr>
        <w:t>运输途损超出</w:t>
      </w:r>
      <w:r>
        <w:rPr>
          <w:rFonts w:hint="eastAsia" w:ascii="仿宋_GB2312" w:hAnsi="仿宋_GB2312" w:eastAsia="仿宋_GB2312" w:cs="仿宋_GB2312"/>
          <w:b w:val="0"/>
          <w:bCs/>
          <w:color w:val="000000"/>
          <w:spacing w:val="0"/>
          <w:sz w:val="32"/>
          <w:szCs w:val="32"/>
          <w:highlight w:val="none"/>
          <w:u w:val="single"/>
          <w:lang w:val="en-US" w:eastAsia="zh-CN"/>
        </w:rPr>
        <w:t>6</w:t>
      </w:r>
      <w:r>
        <w:rPr>
          <w:rFonts w:hint="eastAsia" w:ascii="仿宋_GB2312" w:hAnsi="仿宋_GB2312" w:eastAsia="仿宋_GB2312" w:cs="仿宋_GB2312"/>
          <w:b w:val="0"/>
          <w:bCs/>
          <w:color w:val="000000"/>
          <w:spacing w:val="0"/>
          <w:sz w:val="32"/>
          <w:szCs w:val="32"/>
          <w:highlight w:val="none"/>
        </w:rPr>
        <w:t>‰部分</w:t>
      </w:r>
      <w:r>
        <w:rPr>
          <w:rFonts w:hint="eastAsia" w:ascii="仿宋_GB2312" w:hAnsi="仿宋_GB2312" w:eastAsia="仿宋_GB2312" w:cs="仿宋_GB2312"/>
          <w:b w:val="0"/>
          <w:bCs/>
          <w:color w:val="000000"/>
          <w:spacing w:val="0"/>
          <w:kern w:val="2"/>
          <w:sz w:val="32"/>
          <w:szCs w:val="32"/>
          <w:highlight w:val="none"/>
        </w:rPr>
        <w:t>由</w:t>
      </w:r>
      <w:r>
        <w:rPr>
          <w:rFonts w:ascii="仿宋" w:hAnsi="仿宋" w:eastAsia="仿宋" w:cs="仿宋"/>
          <w:b w:val="0"/>
          <w:bCs/>
          <w:spacing w:val="0"/>
          <w:sz w:val="32"/>
          <w:szCs w:val="32"/>
          <w:highlight w:val="none"/>
        </w:rPr>
        <w:t>供应商</w:t>
      </w:r>
      <w:r>
        <w:rPr>
          <w:rFonts w:hint="eastAsia" w:ascii="仿宋_GB2312" w:hAnsi="仿宋_GB2312" w:eastAsia="仿宋_GB2312" w:cs="仿宋_GB2312"/>
          <w:b w:val="0"/>
          <w:bCs/>
          <w:color w:val="000000"/>
          <w:spacing w:val="0"/>
          <w:kern w:val="2"/>
          <w:sz w:val="32"/>
          <w:szCs w:val="32"/>
          <w:highlight w:val="none"/>
        </w:rPr>
        <w:t>承担，</w:t>
      </w:r>
      <w:r>
        <w:rPr>
          <w:rFonts w:hint="eastAsia" w:ascii="仿宋_GB2312" w:hAnsi="仿宋_GB2312" w:eastAsia="仿宋_GB2312" w:cs="仿宋_GB2312"/>
          <w:b w:val="0"/>
          <w:bCs/>
          <w:color w:val="000000"/>
          <w:spacing w:val="0"/>
          <w:kern w:val="2"/>
          <w:sz w:val="32"/>
          <w:szCs w:val="32"/>
          <w:highlight w:val="none"/>
          <w:lang w:val="en-US" w:eastAsia="zh-CN"/>
        </w:rPr>
        <w:t>在运</w:t>
      </w:r>
      <w:r>
        <w:rPr>
          <w:rFonts w:hint="eastAsia" w:ascii="仿宋_GB2312" w:hAnsi="仿宋_GB2312" w:eastAsia="仿宋_GB2312" w:cs="仿宋_GB2312"/>
          <w:b w:val="0"/>
          <w:bCs/>
          <w:color w:val="000000"/>
          <w:spacing w:val="0"/>
          <w:kern w:val="2"/>
          <w:sz w:val="32"/>
          <w:szCs w:val="32"/>
          <w:lang w:val="en-US" w:eastAsia="zh-CN"/>
        </w:rPr>
        <w:t>费结算中扣除</w:t>
      </w:r>
      <w:r>
        <w:rPr>
          <w:rFonts w:hint="eastAsia" w:ascii="仿宋_GB2312" w:hAnsi="仿宋_GB2312" w:eastAsia="仿宋_GB2312" w:cs="仿宋_GB2312"/>
          <w:b w:val="0"/>
          <w:bCs/>
          <w:color w:val="000000"/>
          <w:spacing w:val="0"/>
          <w:kern w:val="2"/>
          <w:sz w:val="32"/>
          <w:szCs w:val="32"/>
        </w:rPr>
        <w:t>超出部分途损费用（当期</w:t>
      </w:r>
      <w:r>
        <w:rPr>
          <w:rFonts w:hint="eastAsia" w:ascii="仿宋_GB2312" w:hAnsi="仿宋_GB2312" w:eastAsia="仿宋_GB2312" w:cs="仿宋_GB2312"/>
          <w:b w:val="0"/>
          <w:bCs/>
          <w:color w:val="000000"/>
          <w:spacing w:val="0"/>
          <w:kern w:val="2"/>
          <w:sz w:val="32"/>
          <w:szCs w:val="32"/>
          <w:lang w:val="en-US" w:eastAsia="zh-CN"/>
        </w:rPr>
        <w:t>各单位</w:t>
      </w:r>
      <w:r>
        <w:rPr>
          <w:rFonts w:hint="eastAsia" w:ascii="仿宋_GB2312" w:hAnsi="仿宋_GB2312" w:eastAsia="仿宋_GB2312" w:cs="仿宋_GB2312"/>
          <w:b w:val="0"/>
          <w:bCs/>
          <w:color w:val="000000"/>
          <w:spacing w:val="0"/>
          <w:kern w:val="2"/>
          <w:sz w:val="32"/>
          <w:szCs w:val="32"/>
        </w:rPr>
        <w:t>签订</w:t>
      </w:r>
      <w:r>
        <w:rPr>
          <w:rFonts w:hint="eastAsia" w:ascii="仿宋_GB2312" w:hAnsi="仿宋_GB2312" w:eastAsia="仿宋_GB2312" w:cs="仿宋_GB2312"/>
          <w:b w:val="0"/>
          <w:bCs/>
          <w:color w:val="000000"/>
          <w:spacing w:val="0"/>
          <w:kern w:val="2"/>
          <w:sz w:val="32"/>
          <w:szCs w:val="32"/>
          <w:lang w:eastAsia="zh-CN"/>
        </w:rPr>
        <w:t>的</w:t>
      </w:r>
      <w:r>
        <w:rPr>
          <w:rFonts w:hint="eastAsia" w:ascii="仿宋_GB2312" w:hAnsi="仿宋_GB2312" w:eastAsia="仿宋_GB2312" w:cs="仿宋_GB2312"/>
          <w:b w:val="0"/>
          <w:bCs/>
          <w:color w:val="000000"/>
          <w:spacing w:val="0"/>
          <w:kern w:val="2"/>
          <w:sz w:val="32"/>
          <w:szCs w:val="32"/>
        </w:rPr>
        <w:t>合同煤价*超出途损数量）。</w:t>
      </w:r>
    </w:p>
    <w:p w14:paraId="467DB6D8">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5.</w:t>
      </w:r>
      <w:r>
        <w:rPr>
          <w:rFonts w:hint="eastAsia" w:ascii="仿宋_GB2312" w:hAnsi="仿宋_GB2312" w:eastAsia="仿宋_GB2312" w:cs="仿宋_GB2312"/>
          <w:b/>
          <w:bCs/>
          <w:color w:val="auto"/>
          <w:sz w:val="32"/>
          <w:szCs w:val="32"/>
          <w:lang w:val="en-US" w:eastAsia="zh-CN"/>
        </w:rPr>
        <w:t>中价运输商签订合同前需交纳15万元履约保证金，如运输商中价多条线路，每条线路均需缴纳履约保证金15万元。如履约保证金不足 15万元时，运输商应在五日内补足，如运输商不按时补足，煤业物资公司有权单方解除合同，由此造成的损失由运输商承担。</w:t>
      </w:r>
    </w:p>
    <w:p w14:paraId="2793FDBF">
      <w:pPr>
        <w:pStyle w:val="2"/>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6.合同执行时，承运单位需按照煤业公司每月下达的调运计划组织运力足额履约。90%≤月度调运计划履约率≤110%，正常支付运费；85%≤月度调运计划履约率＜90%的，承担违约金2万元；80%≤月度调运计划履约率＜85%的，承担违约金4万元；75%≤月度调运计划履约率＜80%的，承担违约金6万元；70%≤月度调运计划履约率＜75%的，承担违约金8万元；60%≤月度调运计划履约率＜70%的，承担违约金10万元；</w:t>
      </w:r>
      <w:r>
        <w:rPr>
          <w:rFonts w:hint="default" w:ascii="仿宋_GB2312" w:hAnsi="仿宋_GB2312" w:eastAsia="仿宋_GB2312" w:cs="仿宋_GB2312"/>
          <w:b/>
          <w:bCs/>
          <w:color w:val="auto"/>
          <w:sz w:val="32"/>
          <w:szCs w:val="32"/>
          <w:highlight w:val="none"/>
          <w:lang w:val="en-US" w:eastAsia="zh-CN"/>
        </w:rPr>
        <w:t>低于</w:t>
      </w:r>
      <w:r>
        <w:rPr>
          <w:rFonts w:hint="eastAsia" w:ascii="仿宋_GB2312" w:hAnsi="仿宋_GB2312" w:eastAsia="仿宋_GB2312" w:cs="仿宋_GB2312"/>
          <w:b/>
          <w:bCs/>
          <w:color w:val="auto"/>
          <w:sz w:val="32"/>
          <w:szCs w:val="32"/>
          <w:lang w:val="en-US" w:eastAsia="zh-CN"/>
        </w:rPr>
        <w:t>60%的，煤业物资公司有权解除合同并扣除全部履约保证金。110%＜月度调运计划履约率≤115%的，承担违约金2万元；115%＜月度调运计划履约率≤120%的，承担违约金4万元；120%＜月度调运计划履约率≤125%的，承担违约金6万元；125%＜月度调运计划履约率≤130%的，承担违约金8万元；130%＜月度调运计划履约率≤140%的，承担违约金10万元；月度调运计划履约率＞140%的，扣除全部履约保证金。</w:t>
      </w:r>
    </w:p>
    <w:p w14:paraId="0FB62173">
      <w:pPr>
        <w:ind w:firstLine="643" w:firstLineChars="200"/>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sz w:val="32"/>
          <w:szCs w:val="32"/>
          <w:lang w:val="en-US" w:eastAsia="zh-CN"/>
        </w:rPr>
        <w:t>7.</w:t>
      </w:r>
      <w:r>
        <w:rPr>
          <w:rFonts w:hint="eastAsia" w:ascii="仿宋_GB2312" w:hAnsi="仿宋_GB2312" w:eastAsia="仿宋_GB2312" w:cs="仿宋_GB2312"/>
          <w:b/>
          <w:bCs/>
          <w:color w:val="auto"/>
          <w:kern w:val="2"/>
          <w:sz w:val="32"/>
          <w:szCs w:val="32"/>
          <w:lang w:val="en-US" w:eastAsia="zh-CN"/>
        </w:rPr>
        <w:t>合同签订后，乙方需按照煤业物资公司下达的月度调运计划均衡发运。乙方在执行月度调运计划时，两周内未达到应履约进度的50%（应履约进度=月度计划量/月天数*14天），煤业物资公司有权终止合同并扣除履约保证金15万元。</w:t>
      </w:r>
    </w:p>
    <w:p w14:paraId="695DECF2">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8.为确保冬季煤炭运输业务的稳定与高效，保障充足的运力，现就本次冬季煤炭汽车运输竞价事宜，提出如下要求并严格严格遵守：</w:t>
      </w:r>
    </w:p>
    <w:p w14:paraId="4312F475">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8.1.报价要求：</w:t>
      </w:r>
      <w:r>
        <w:rPr>
          <w:rFonts w:hint="eastAsia" w:ascii="仿宋_GB2312" w:hAnsi="仿宋_GB2312" w:eastAsia="仿宋_GB2312" w:cs="仿宋_GB2312"/>
          <w:b w:val="0"/>
          <w:bCs w:val="0"/>
          <w:color w:val="auto"/>
          <w:kern w:val="2"/>
          <w:sz w:val="32"/>
          <w:szCs w:val="32"/>
          <w:lang w:val="en-US" w:eastAsia="zh-CN"/>
        </w:rPr>
        <w:t>运输商投标前做好市场研判，须基于真实、全面的成本核算后进行报价，</w:t>
      </w:r>
      <w:r>
        <w:rPr>
          <w:rFonts w:hint="eastAsia" w:ascii="仿宋_GB2312" w:hAnsi="仿宋_GB2312" w:eastAsia="仿宋_GB2312" w:cs="仿宋_GB2312"/>
          <w:kern w:val="2"/>
          <w:sz w:val="32"/>
          <w:szCs w:val="32"/>
          <w:lang w:val="en-US" w:eastAsia="zh-CN"/>
        </w:rPr>
        <w:t>报价截止后无法对填报价格进行修改</w:t>
      </w:r>
      <w:r>
        <w:rPr>
          <w:rFonts w:hint="eastAsia" w:ascii="仿宋_GB2312" w:hAnsi="仿宋_GB2312" w:eastAsia="仿宋_GB2312" w:cs="仿宋_GB2312"/>
          <w:color w:val="auto"/>
          <w:sz w:val="32"/>
          <w:szCs w:val="32"/>
          <w:lang w:val="en-US" w:eastAsia="zh-CN"/>
        </w:rPr>
        <w:t>。</w:t>
      </w:r>
    </w:p>
    <w:p w14:paraId="2AF80A8C">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val="0"/>
          <w:bCs w:val="0"/>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8.2.考虑市场变化：</w:t>
      </w:r>
      <w:r>
        <w:rPr>
          <w:rFonts w:hint="eastAsia" w:ascii="仿宋_GB2312" w:hAnsi="仿宋_GB2312" w:eastAsia="仿宋_GB2312" w:cs="仿宋_GB2312"/>
          <w:b w:val="0"/>
          <w:bCs w:val="0"/>
          <w:color w:val="auto"/>
          <w:kern w:val="2"/>
          <w:sz w:val="32"/>
          <w:szCs w:val="32"/>
          <w:lang w:val="en-US" w:eastAsia="zh-CN"/>
        </w:rPr>
        <w:t>冬季汽车运输市场受多种因素影响，运输商报价时需充分考虑冬季极端天气及市场动态变化，不得在运输过程中以市场变化、极端天气等为由要求调整运价。</w:t>
      </w:r>
    </w:p>
    <w:p w14:paraId="60A3CB38">
      <w:pPr>
        <w:pStyle w:val="6"/>
        <w:keepNext w:val="0"/>
        <w:keepLines w:val="0"/>
        <w:pageBreakBefore w:val="0"/>
        <w:widowControl w:val="0"/>
        <w:kinsoku/>
        <w:wordWrap/>
        <w:overflowPunct/>
        <w:topLinePunct w:val="0"/>
        <w:autoSpaceDE/>
        <w:autoSpaceDN/>
        <w:bidi w:val="0"/>
        <w:adjustRightInd/>
        <w:snapToGrid w:val="0"/>
        <w:spacing w:line="560" w:lineRule="exact"/>
        <w:ind w:left="0" w:leftChars="0" w:firstLine="643" w:firstLineChars="200"/>
        <w:jc w:val="both"/>
        <w:textAlignment w:val="auto"/>
        <w:rPr>
          <w:rFonts w:hint="eastAsia" w:ascii="仿宋_GB2312" w:hAnsi="仿宋_GB2312" w:eastAsia="仿宋_GB2312" w:cs="仿宋_GB2312"/>
          <w:b/>
          <w:bCs/>
          <w:color w:val="auto"/>
          <w:kern w:val="2"/>
          <w:sz w:val="32"/>
          <w:szCs w:val="32"/>
          <w:lang w:val="en-US" w:eastAsia="zh-CN"/>
        </w:rPr>
      </w:pPr>
      <w:r>
        <w:rPr>
          <w:rFonts w:hint="eastAsia" w:ascii="仿宋_GB2312" w:hAnsi="仿宋_GB2312" w:eastAsia="仿宋_GB2312" w:cs="仿宋_GB2312"/>
          <w:b/>
          <w:bCs/>
          <w:color w:val="auto"/>
          <w:kern w:val="2"/>
          <w:sz w:val="32"/>
          <w:szCs w:val="32"/>
          <w:lang w:val="en-US" w:eastAsia="zh-CN"/>
        </w:rPr>
        <w:t>8.3.履约能力保障要求：</w:t>
      </w:r>
      <w:r>
        <w:rPr>
          <w:rFonts w:hint="eastAsia" w:ascii="仿宋_GB2312" w:hAnsi="仿宋_GB2312" w:eastAsia="仿宋_GB2312" w:cs="仿宋_GB2312"/>
          <w:b w:val="0"/>
          <w:bCs w:val="0"/>
          <w:color w:val="auto"/>
          <w:kern w:val="2"/>
          <w:sz w:val="32"/>
          <w:szCs w:val="32"/>
          <w:lang w:val="en-US" w:eastAsia="zh-CN"/>
        </w:rPr>
        <w:t>针对冬季可能出现的暴雪、冰冻、大风等极端天气，以及交通管制、道路结冰等特殊情况，各运输商需建立应急机制，应对极端天气及特殊情况，确保在极端天气或突发状况下能够及时调配足额运力。制定详细的冬季煤炭运输计划，明确每日、每周运输量安排，以及应对不同天气状况的运输策略。</w:t>
      </w:r>
    </w:p>
    <w:p w14:paraId="5D8E4A8B">
      <w:pPr>
        <w:keepNext w:val="0"/>
        <w:keepLines w:val="0"/>
        <w:pageBreakBefore w:val="0"/>
        <w:widowControl w:val="0"/>
        <w:numPr>
          <w:ilvl w:val="0"/>
          <w:numId w:val="0"/>
        </w:numPr>
        <w:kinsoku/>
        <w:wordWrap/>
        <w:overflowPunct/>
        <w:topLinePunct w:val="0"/>
        <w:autoSpaceDE/>
        <w:autoSpaceDN/>
        <w:bidi w:val="0"/>
        <w:adjustRightInd/>
        <w:snapToGrid w:val="0"/>
        <w:spacing w:line="560" w:lineRule="exact"/>
        <w:ind w:firstLine="640" w:firstLineChars="200"/>
        <w:jc w:val="both"/>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val="0"/>
          <w:bCs w:val="0"/>
          <w:color w:val="auto"/>
          <w:sz w:val="32"/>
          <w:szCs w:val="32"/>
          <w:lang w:val="en-US" w:eastAsia="zh-CN"/>
        </w:rPr>
        <w:t>9.关于合同期内的其他相关费用等收取情况，报价单位需向所投标线路煤矿及电厂核实清楚，后期不再追加任何相关费用。</w:t>
      </w:r>
    </w:p>
    <w:p w14:paraId="29BD0346">
      <w:pPr>
        <w:pStyle w:val="2"/>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10.投标运输商应充分考虑合同执行过程中的政策变化情况，如环保政策等，严格按照符合各项政策要求的车型安排运输车辆。所有承运车辆必须安装北斗定位设备和车载摄像头（所装设备应符合JT-T 794-2019,JT-T 808-2019,JT-T 1076-2016 JT-T 1078-2016），运输在途车辆应能随时提供车辆定位、行车轨迹图及轨迹回溯，具有在途视频监控功能，具有物联网数据传输功能，定位和轨迹信息及视频监控数据可随时绑定和接入新疆公司燃料集约管控平台。未装或不符合标准的定位设备的车辆不得进行拉运，定位设备损坏或无定位、轨迹回放和视频信息的车辆，电厂发现发生该情形的，对运输商提出警告并责令进行整改，否则该车辆退出本线路运输。</w:t>
      </w:r>
      <w:bookmarkStart w:id="0" w:name="_GoBack"/>
      <w:bookmarkEnd w:id="0"/>
    </w:p>
    <w:p w14:paraId="12D89FEC">
      <w:pPr>
        <w:pStyle w:val="2"/>
        <w:rPr>
          <w:rFonts w:hint="eastAsia" w:ascii="仿宋_GB2312" w:hAnsi="仿宋_GB2312" w:eastAsia="仿宋_GB2312" w:cs="仿宋_GB2312"/>
          <w:b w:val="0"/>
          <w:bCs w:val="0"/>
          <w:color w:val="auto"/>
          <w:spacing w:val="0"/>
          <w:sz w:val="32"/>
          <w:szCs w:val="32"/>
          <w:highlight w:val="none"/>
          <w:lang w:val="en-US" w:eastAsia="zh-CN"/>
        </w:rPr>
      </w:pP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b w:val="0"/>
          <w:bCs w:val="0"/>
          <w:color w:val="auto"/>
          <w:spacing w:val="0"/>
          <w:sz w:val="32"/>
          <w:szCs w:val="32"/>
          <w:highlight w:val="none"/>
          <w:lang w:val="en-US" w:eastAsia="zh-CN"/>
        </w:rPr>
        <w:t>其他</w:t>
      </w:r>
      <w:r>
        <w:rPr>
          <w:rFonts w:hint="eastAsia" w:ascii="仿宋_GB2312" w:hAnsi="仿宋_GB2312" w:eastAsia="仿宋_GB2312" w:cs="仿宋_GB2312"/>
          <w:b w:val="0"/>
          <w:bCs w:val="0"/>
          <w:color w:val="auto"/>
          <w:spacing w:val="0"/>
          <w:sz w:val="32"/>
          <w:szCs w:val="32"/>
          <w:highlight w:val="none"/>
          <w:u w:val="none" w:color="auto"/>
          <w:vertAlign w:val="baseline"/>
          <w:lang w:val="en-US" w:eastAsia="zh-CN"/>
        </w:rPr>
        <w:t>具体条款</w:t>
      </w:r>
      <w:r>
        <w:rPr>
          <w:rFonts w:hint="eastAsia" w:ascii="仿宋_GB2312" w:hAnsi="仿宋_GB2312" w:eastAsia="仿宋_GB2312" w:cs="仿宋_GB2312"/>
          <w:b w:val="0"/>
          <w:bCs w:val="0"/>
          <w:color w:val="auto"/>
          <w:spacing w:val="0"/>
          <w:sz w:val="32"/>
          <w:highlight w:val="none"/>
          <w:lang w:val="en-US" w:eastAsia="zh-CN"/>
        </w:rPr>
        <w:t>：</w:t>
      </w:r>
      <w:r>
        <w:rPr>
          <w:rFonts w:hint="eastAsia" w:ascii="仿宋_GB2312" w:hAnsi="仿宋_GB2312" w:eastAsia="仿宋_GB2312" w:cs="仿宋_GB2312"/>
          <w:b w:val="0"/>
          <w:bCs w:val="0"/>
          <w:color w:val="auto"/>
          <w:spacing w:val="0"/>
          <w:sz w:val="32"/>
          <w:szCs w:val="32"/>
          <w:highlight w:val="none"/>
          <w:lang w:val="en-US" w:eastAsia="zh-CN"/>
        </w:rPr>
        <w:t>详见合同范本。</w:t>
      </w:r>
    </w:p>
    <w:p w14:paraId="5D35330E">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四、</w:t>
      </w:r>
      <w:r>
        <w:rPr>
          <w:rFonts w:hint="eastAsia" w:ascii="黑体" w:hAnsi="黑体" w:eastAsia="黑体"/>
          <w:b/>
          <w:bCs/>
          <w:color w:val="auto"/>
          <w:spacing w:val="0"/>
          <w:sz w:val="32"/>
          <w:highlight w:val="none"/>
          <w:lang w:val="en-US"/>
        </w:rPr>
        <w:t>合同</w:t>
      </w:r>
      <w:r>
        <w:rPr>
          <w:rFonts w:hint="eastAsia" w:ascii="黑体" w:hAnsi="黑体" w:eastAsia="黑体"/>
          <w:b/>
          <w:bCs/>
          <w:color w:val="auto"/>
          <w:spacing w:val="0"/>
          <w:sz w:val="32"/>
          <w:highlight w:val="none"/>
          <w:lang w:val="en-US" w:eastAsia="zh-CN"/>
        </w:rPr>
        <w:t>执行</w:t>
      </w:r>
      <w:r>
        <w:rPr>
          <w:rFonts w:hint="eastAsia" w:ascii="黑体" w:hAnsi="黑体" w:eastAsia="黑体"/>
          <w:b/>
          <w:bCs/>
          <w:color w:val="auto"/>
          <w:spacing w:val="0"/>
          <w:sz w:val="32"/>
          <w:highlight w:val="none"/>
          <w:lang w:val="en-US"/>
        </w:rPr>
        <w:t>时间</w:t>
      </w:r>
    </w:p>
    <w:p w14:paraId="63B2C1F3">
      <w:pPr>
        <w:keepNext w:val="0"/>
        <w:keepLines w:val="0"/>
        <w:pageBreakBefore w:val="0"/>
        <w:kinsoku/>
        <w:wordWrap/>
        <w:overflowPunct/>
        <w:topLinePunct w:val="0"/>
        <w:bidi w:val="0"/>
        <w:adjustRightInd/>
        <w:snapToGrid/>
        <w:spacing w:line="560" w:lineRule="exact"/>
        <w:ind w:firstLine="640" w:firstLineChars="200"/>
        <w:textAlignment w:val="auto"/>
        <w:rPr>
          <w:rFonts w:hint="eastAsia" w:ascii="仿宋_GB2312" w:eastAsia="仿宋_GB2312"/>
          <w:b w:val="0"/>
          <w:bCs w:val="0"/>
          <w:color w:val="auto"/>
          <w:spacing w:val="0"/>
          <w:sz w:val="32"/>
          <w:highlight w:val="none"/>
          <w:lang w:eastAsia="zh-CN"/>
        </w:rPr>
      </w:pPr>
      <w:r>
        <w:rPr>
          <w:rFonts w:hint="eastAsia" w:ascii="仿宋_GB2312" w:eastAsia="仿宋_GB2312"/>
          <w:color w:val="auto"/>
          <w:spacing w:val="0"/>
          <w:sz w:val="32"/>
          <w:highlight w:val="none"/>
        </w:rPr>
        <w:t>合同执行期</w:t>
      </w:r>
      <w:r>
        <w:rPr>
          <w:rFonts w:hint="eastAsia" w:ascii="仿宋_GB2312" w:eastAsia="仿宋_GB2312"/>
          <w:color w:val="auto"/>
          <w:spacing w:val="0"/>
          <w:sz w:val="32"/>
          <w:highlight w:val="none"/>
          <w:lang w:eastAsia="zh-CN"/>
        </w:rPr>
        <w:t>：</w:t>
      </w:r>
      <w:r>
        <w:rPr>
          <w:rFonts w:hint="eastAsia" w:ascii="仿宋_GB2312" w:hAnsi="仿宋_GB2312" w:eastAsia="仿宋_GB2312" w:cs="仿宋_GB2312"/>
          <w:b w:val="0"/>
          <w:bCs w:val="0"/>
          <w:color w:val="000000"/>
          <w:spacing w:val="0"/>
          <w:sz w:val="32"/>
          <w:szCs w:val="32"/>
          <w:highlight w:val="none"/>
        </w:rPr>
        <w:t>合同签订日</w:t>
      </w:r>
      <w:r>
        <w:rPr>
          <w:rFonts w:hint="eastAsia" w:ascii="仿宋_GB2312" w:eastAsia="仿宋_GB2312"/>
          <w:b w:val="0"/>
          <w:bCs w:val="0"/>
          <w:color w:val="auto"/>
          <w:spacing w:val="0"/>
          <w:sz w:val="32"/>
          <w:highlight w:val="none"/>
          <w:lang w:val="en-US" w:eastAsia="zh-CN"/>
        </w:rPr>
        <w:t>至</w:t>
      </w:r>
      <w:r>
        <w:rPr>
          <w:rFonts w:hint="eastAsia" w:ascii="仿宋_GB2312" w:eastAsia="仿宋_GB2312"/>
          <w:b w:val="0"/>
          <w:bCs w:val="0"/>
          <w:color w:val="auto"/>
          <w:spacing w:val="0"/>
          <w:sz w:val="32"/>
          <w:highlight w:val="none"/>
          <w:u w:val="single"/>
          <w:lang w:val="en-US" w:eastAsia="zh-CN"/>
        </w:rPr>
        <w:t>2026</w:t>
      </w:r>
      <w:r>
        <w:rPr>
          <w:rFonts w:hint="eastAsia" w:ascii="仿宋_GB2312" w:eastAsia="仿宋_GB2312"/>
          <w:b w:val="0"/>
          <w:bCs w:val="0"/>
          <w:color w:val="auto"/>
          <w:spacing w:val="0"/>
          <w:sz w:val="32"/>
          <w:highlight w:val="none"/>
        </w:rPr>
        <w:t>年</w:t>
      </w:r>
      <w:r>
        <w:rPr>
          <w:rFonts w:hint="eastAsia" w:ascii="仿宋_GB2312" w:eastAsia="仿宋_GB2312"/>
          <w:b w:val="0"/>
          <w:bCs w:val="0"/>
          <w:color w:val="auto"/>
          <w:spacing w:val="0"/>
          <w:sz w:val="32"/>
          <w:highlight w:val="none"/>
          <w:u w:val="single"/>
          <w:lang w:val="en-US" w:eastAsia="zh-CN"/>
        </w:rPr>
        <w:t>3</w:t>
      </w:r>
      <w:r>
        <w:rPr>
          <w:rFonts w:hint="eastAsia" w:ascii="仿宋_GB2312" w:eastAsia="仿宋_GB2312"/>
          <w:b w:val="0"/>
          <w:bCs w:val="0"/>
          <w:color w:val="auto"/>
          <w:spacing w:val="0"/>
          <w:sz w:val="32"/>
          <w:highlight w:val="none"/>
        </w:rPr>
        <w:t>月</w:t>
      </w:r>
      <w:r>
        <w:rPr>
          <w:rFonts w:hint="eastAsia" w:ascii="仿宋_GB2312" w:eastAsia="仿宋_GB2312"/>
          <w:b w:val="0"/>
          <w:bCs w:val="0"/>
          <w:color w:val="auto"/>
          <w:spacing w:val="0"/>
          <w:sz w:val="32"/>
          <w:highlight w:val="none"/>
          <w:u w:val="single"/>
          <w:lang w:val="en-US" w:eastAsia="zh-CN"/>
        </w:rPr>
        <w:t>31</w:t>
      </w:r>
      <w:r>
        <w:rPr>
          <w:rFonts w:hint="eastAsia" w:ascii="仿宋_GB2312" w:eastAsia="仿宋_GB2312"/>
          <w:b w:val="0"/>
          <w:bCs w:val="0"/>
          <w:color w:val="auto"/>
          <w:spacing w:val="0"/>
          <w:sz w:val="32"/>
          <w:highlight w:val="none"/>
        </w:rPr>
        <w:t>日</w:t>
      </w:r>
      <w:r>
        <w:rPr>
          <w:rFonts w:hint="eastAsia" w:ascii="仿宋_GB2312" w:eastAsia="仿宋_GB2312"/>
          <w:b w:val="0"/>
          <w:bCs w:val="0"/>
          <w:color w:val="auto"/>
          <w:spacing w:val="0"/>
          <w:sz w:val="32"/>
          <w:highlight w:val="none"/>
          <w:lang w:eastAsia="zh-CN"/>
        </w:rPr>
        <w:t>。</w:t>
      </w:r>
    </w:p>
    <w:p w14:paraId="268B7D78">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五、</w:t>
      </w:r>
      <w:r>
        <w:rPr>
          <w:rFonts w:hint="eastAsia" w:ascii="黑体" w:hAnsi="黑体" w:eastAsia="黑体"/>
          <w:b/>
          <w:bCs/>
          <w:color w:val="auto"/>
          <w:spacing w:val="0"/>
          <w:sz w:val="32"/>
          <w:highlight w:val="none"/>
          <w:lang w:val="en-US"/>
        </w:rPr>
        <w:t>竞价时间</w:t>
      </w:r>
    </w:p>
    <w:p w14:paraId="23E78BC0">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olor w:val="auto"/>
          <w:spacing w:val="0"/>
          <w:sz w:val="32"/>
          <w:highlight w:val="none"/>
        </w:rPr>
      </w:pPr>
      <w:r>
        <w:rPr>
          <w:rFonts w:hint="eastAsia" w:ascii="仿宋_GB2312" w:eastAsia="仿宋_GB2312"/>
          <w:color w:val="auto"/>
          <w:spacing w:val="0"/>
          <w:sz w:val="32"/>
          <w:highlight w:val="none"/>
        </w:rPr>
        <w:t>竞价截止时间</w:t>
      </w:r>
      <w:r>
        <w:rPr>
          <w:rFonts w:hint="eastAsia" w:ascii="仿宋_GB2312" w:eastAsia="仿宋_GB2312"/>
          <w:color w:val="auto"/>
          <w:spacing w:val="0"/>
          <w:sz w:val="32"/>
          <w:highlight w:val="none"/>
          <w:lang w:eastAsia="zh-CN"/>
        </w:rPr>
        <w:t>以竞价平台发布的时间为准</w:t>
      </w:r>
      <w:r>
        <w:rPr>
          <w:rFonts w:hint="eastAsia" w:ascii="仿宋_GB2312" w:eastAsia="仿宋_GB2312"/>
          <w:color w:val="auto"/>
          <w:spacing w:val="0"/>
          <w:sz w:val="32"/>
          <w:highlight w:val="none"/>
        </w:rPr>
        <w:t>。</w:t>
      </w:r>
    </w:p>
    <w:p w14:paraId="05F7992E">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六、</w:t>
      </w:r>
      <w:r>
        <w:rPr>
          <w:rFonts w:hint="eastAsia" w:ascii="黑体" w:hAnsi="黑体" w:eastAsia="黑体"/>
          <w:b/>
          <w:bCs/>
          <w:color w:val="auto"/>
          <w:spacing w:val="0"/>
          <w:sz w:val="32"/>
          <w:highlight w:val="none"/>
          <w:lang w:val="en-US"/>
        </w:rPr>
        <w:t>竞价供应商资格</w:t>
      </w:r>
    </w:p>
    <w:p w14:paraId="3BD6D65A">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黑体" w:hAnsi="黑体" w:eastAsia="黑体"/>
          <w:b/>
          <w:bCs/>
          <w:color w:val="auto"/>
          <w:spacing w:val="0"/>
          <w:sz w:val="32"/>
          <w:highlight w:val="none"/>
          <w:lang w:val="en-US" w:eastAsia="zh-CN"/>
        </w:rPr>
      </w:pPr>
      <w:r>
        <w:rPr>
          <w:rFonts w:hint="eastAsia" w:ascii="仿宋_GB2312" w:eastAsia="仿宋_GB2312" w:cstheme="minorBidi"/>
          <w:color w:val="auto"/>
          <w:spacing w:val="0"/>
          <w:kern w:val="2"/>
          <w:sz w:val="32"/>
          <w:szCs w:val="24"/>
          <w:highlight w:val="none"/>
          <w:lang w:val="en-US" w:eastAsia="zh-CN" w:bidi="ar-SA"/>
        </w:rPr>
        <w:t xml:space="preserve">1. </w:t>
      </w:r>
      <w:r>
        <w:rPr>
          <w:rFonts w:hint="eastAsia" w:ascii="仿宋_GB2312" w:hAnsi="仿宋_GB2312" w:eastAsia="仿宋_GB2312" w:cs="仿宋_GB2312"/>
          <w:b w:val="0"/>
          <w:bCs w:val="0"/>
          <w:color w:val="auto"/>
          <w:spacing w:val="0"/>
          <w:sz w:val="32"/>
          <w:highlight w:val="none"/>
          <w:lang w:val="en-US" w:eastAsia="zh-CN"/>
        </w:rPr>
        <w:t>参与报价的供应商视为认可并遵守本电煤竞价规则。</w:t>
      </w:r>
    </w:p>
    <w:p w14:paraId="2BE150DD">
      <w:pPr>
        <w:pStyle w:val="11"/>
        <w:keepNext w:val="0"/>
        <w:keepLines w:val="0"/>
        <w:pageBreakBefore w:val="0"/>
        <w:widowControl w:val="0"/>
        <w:tabs>
          <w:tab w:val="left" w:pos="1740"/>
          <w:tab w:val="left" w:pos="1741"/>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eastAsia="仿宋_GB2312" w:hAnsiTheme="minorHAnsi" w:cstheme="minorBidi"/>
          <w:color w:val="auto"/>
          <w:spacing w:val="0"/>
          <w:kern w:val="2"/>
          <w:sz w:val="32"/>
          <w:szCs w:val="24"/>
          <w:highlight w:val="none"/>
          <w:lang w:val="en-US" w:eastAsia="zh-CN" w:bidi="ar-SA"/>
        </w:rPr>
      </w:pPr>
      <w:r>
        <w:rPr>
          <w:rFonts w:hint="eastAsia" w:ascii="仿宋_GB2312" w:eastAsia="仿宋_GB2312" w:cstheme="minorBidi"/>
          <w:color w:val="auto"/>
          <w:spacing w:val="0"/>
          <w:kern w:val="2"/>
          <w:sz w:val="32"/>
          <w:szCs w:val="24"/>
          <w:highlight w:val="none"/>
          <w:lang w:val="en-US" w:eastAsia="zh-CN" w:bidi="ar-SA"/>
        </w:rPr>
        <w:t xml:space="preserve">2. </w:t>
      </w:r>
      <w:r>
        <w:rPr>
          <w:rFonts w:hint="eastAsia" w:ascii="仿宋_GB2312" w:eastAsia="仿宋_GB2312" w:hAnsiTheme="minorHAnsi" w:cstheme="minorBidi"/>
          <w:color w:val="auto"/>
          <w:spacing w:val="0"/>
          <w:kern w:val="2"/>
          <w:sz w:val="32"/>
          <w:szCs w:val="24"/>
          <w:highlight w:val="none"/>
          <w:lang w:val="en-US" w:eastAsia="zh-CN" w:bidi="ar-SA"/>
        </w:rPr>
        <w:t>三证齐全（营业执照、银行许可证、法人代表身份证）且</w:t>
      </w:r>
      <w:r>
        <w:rPr>
          <w:rFonts w:hint="default" w:ascii="仿宋_GB2312" w:eastAsia="仿宋_GB2312" w:hAnsiTheme="minorHAnsi" w:cstheme="minorBidi"/>
          <w:color w:val="auto"/>
          <w:spacing w:val="0"/>
          <w:kern w:val="2"/>
          <w:sz w:val="32"/>
          <w:szCs w:val="24"/>
          <w:highlight w:val="none"/>
          <w:lang w:val="en-US" w:eastAsia="zh-CN" w:bidi="ar-SA"/>
        </w:rPr>
        <w:t>具备合格</w:t>
      </w:r>
      <w:r>
        <w:rPr>
          <w:rFonts w:hint="eastAsia" w:ascii="仿宋_GB2312" w:eastAsia="仿宋_GB2312" w:hAnsiTheme="minorHAnsi" w:cstheme="minorBidi"/>
          <w:color w:val="auto"/>
          <w:spacing w:val="0"/>
          <w:kern w:val="2"/>
          <w:sz w:val="32"/>
          <w:szCs w:val="24"/>
          <w:highlight w:val="none"/>
          <w:lang w:val="en-US" w:eastAsia="zh-CN" w:bidi="ar-SA"/>
        </w:rPr>
        <w:t>的煤炭</w:t>
      </w:r>
      <w:r>
        <w:rPr>
          <w:rFonts w:hint="eastAsia" w:ascii="仿宋_GB2312" w:eastAsia="仿宋_GB2312" w:cstheme="minorBidi"/>
          <w:color w:val="auto"/>
          <w:spacing w:val="0"/>
          <w:kern w:val="2"/>
          <w:sz w:val="32"/>
          <w:szCs w:val="24"/>
          <w:highlight w:val="none"/>
          <w:lang w:val="en-US" w:eastAsia="zh-CN" w:bidi="ar-SA"/>
        </w:rPr>
        <w:t>运输</w:t>
      </w:r>
      <w:r>
        <w:rPr>
          <w:rFonts w:hint="default" w:ascii="仿宋_GB2312" w:eastAsia="仿宋_GB2312" w:hAnsiTheme="minorHAnsi" w:cstheme="minorBidi"/>
          <w:color w:val="auto"/>
          <w:spacing w:val="0"/>
          <w:kern w:val="2"/>
          <w:sz w:val="32"/>
          <w:szCs w:val="24"/>
          <w:highlight w:val="none"/>
          <w:lang w:val="en-US" w:eastAsia="zh-CN" w:bidi="ar-SA"/>
        </w:rPr>
        <w:t>资质</w:t>
      </w:r>
      <w:r>
        <w:rPr>
          <w:rFonts w:hint="eastAsia" w:ascii="仿宋_GB2312" w:eastAsia="仿宋_GB2312" w:cstheme="minorBidi"/>
          <w:color w:val="auto"/>
          <w:spacing w:val="0"/>
          <w:kern w:val="2"/>
          <w:sz w:val="32"/>
          <w:szCs w:val="24"/>
          <w:highlight w:val="none"/>
          <w:lang w:val="en-US" w:eastAsia="zh-CN" w:bidi="ar-SA"/>
        </w:rPr>
        <w:t>的</w:t>
      </w:r>
      <w:r>
        <w:rPr>
          <w:rFonts w:hint="eastAsia" w:ascii="仿宋_GB2312" w:eastAsia="仿宋_GB2312" w:hAnsiTheme="minorHAnsi" w:cstheme="minorBidi"/>
          <w:color w:val="auto"/>
          <w:spacing w:val="0"/>
          <w:kern w:val="2"/>
          <w:sz w:val="32"/>
          <w:szCs w:val="24"/>
          <w:highlight w:val="none"/>
          <w:lang w:val="en-US" w:eastAsia="zh-CN" w:bidi="ar-SA"/>
        </w:rPr>
        <w:t>企业，在</w:t>
      </w:r>
      <w:r>
        <w:rPr>
          <w:rFonts w:hint="eastAsia" w:ascii="仿宋_GB2312" w:eastAsia="仿宋_GB2312" w:cstheme="minorBidi"/>
          <w:color w:val="auto"/>
          <w:spacing w:val="0"/>
          <w:kern w:val="2"/>
          <w:sz w:val="32"/>
          <w:szCs w:val="24"/>
          <w:highlight w:val="none"/>
          <w:lang w:val="en-US" w:eastAsia="zh-CN" w:bidi="ar-SA"/>
        </w:rPr>
        <w:t>华电</w:t>
      </w:r>
      <w:r>
        <w:rPr>
          <w:rFonts w:eastAsia="仿宋_GB2312"/>
          <w:bCs/>
          <w:color w:val="auto"/>
          <w:spacing w:val="0"/>
          <w:sz w:val="32"/>
          <w:szCs w:val="32"/>
          <w:highlight w:val="none"/>
        </w:rPr>
        <w:t>集团公司</w:t>
      </w:r>
      <w:r>
        <w:rPr>
          <w:rFonts w:hint="eastAsia" w:eastAsia="仿宋_GB2312"/>
          <w:bCs/>
          <w:color w:val="auto"/>
          <w:spacing w:val="0"/>
          <w:sz w:val="32"/>
          <w:szCs w:val="32"/>
          <w:highlight w:val="none"/>
        </w:rPr>
        <w:t>电煤竞价平台</w:t>
      </w:r>
      <w:r>
        <w:rPr>
          <w:rFonts w:hint="eastAsia" w:ascii="仿宋_GB2312" w:eastAsia="仿宋_GB2312" w:hAnsiTheme="minorHAnsi" w:cstheme="minorBidi"/>
          <w:color w:val="auto"/>
          <w:spacing w:val="0"/>
          <w:kern w:val="2"/>
          <w:sz w:val="32"/>
          <w:szCs w:val="24"/>
          <w:highlight w:val="none"/>
          <w:lang w:val="en-US" w:eastAsia="zh-CN" w:bidi="ar-SA"/>
        </w:rPr>
        <w:t>注册审核通过的供应商。</w:t>
      </w:r>
    </w:p>
    <w:p w14:paraId="1B00CC5C">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七、</w:t>
      </w:r>
      <w:r>
        <w:rPr>
          <w:rFonts w:hint="eastAsia" w:ascii="黑体" w:hAnsi="黑体" w:eastAsia="黑体"/>
          <w:b/>
          <w:bCs/>
          <w:color w:val="auto"/>
          <w:spacing w:val="0"/>
          <w:sz w:val="32"/>
          <w:highlight w:val="none"/>
          <w:lang w:val="en-US"/>
        </w:rPr>
        <w:t>竞价规则</w:t>
      </w:r>
    </w:p>
    <w:p w14:paraId="0BA06C52">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lang w:val="en-US"/>
        </w:rPr>
      </w:pPr>
      <w:r>
        <w:rPr>
          <w:rFonts w:hint="eastAsia" w:ascii="仿宋_GB2312" w:eastAsia="仿宋_GB2312"/>
          <w:color w:val="auto"/>
          <w:spacing w:val="0"/>
          <w:sz w:val="32"/>
          <w:highlight w:val="none"/>
          <w:lang w:val="en-US"/>
        </w:rPr>
        <w:t>（</w:t>
      </w:r>
      <w:r>
        <w:rPr>
          <w:rFonts w:hint="eastAsia" w:ascii="仿宋_GB2312" w:eastAsia="仿宋_GB2312"/>
          <w:color w:val="auto"/>
          <w:spacing w:val="0"/>
          <w:sz w:val="32"/>
          <w:highlight w:val="none"/>
        </w:rPr>
        <w:t>一</w:t>
      </w:r>
      <w:r>
        <w:rPr>
          <w:rFonts w:hint="eastAsia" w:ascii="仿宋_GB2312" w:eastAsia="仿宋_GB2312"/>
          <w:color w:val="auto"/>
          <w:spacing w:val="0"/>
          <w:sz w:val="32"/>
          <w:highlight w:val="none"/>
          <w:lang w:val="en-US"/>
        </w:rPr>
        <w:t>）</w:t>
      </w:r>
      <w:r>
        <w:rPr>
          <w:rFonts w:hint="eastAsia" w:ascii="仿宋_GB2312" w:eastAsia="仿宋_GB2312"/>
          <w:bCs/>
          <w:color w:val="auto"/>
          <w:spacing w:val="0"/>
          <w:sz w:val="32"/>
          <w:szCs w:val="32"/>
          <w:highlight w:val="none"/>
          <w:shd w:val="clear"/>
          <w:lang w:val="en-US"/>
        </w:rPr>
        <w:t>2</w:t>
      </w:r>
      <w:r>
        <w:rPr>
          <w:rFonts w:ascii="仿宋_GB2312" w:eastAsia="仿宋_GB2312"/>
          <w:bCs/>
          <w:color w:val="auto"/>
          <w:spacing w:val="0"/>
          <w:sz w:val="32"/>
          <w:szCs w:val="32"/>
          <w:highlight w:val="none"/>
          <w:shd w:val="clear"/>
          <w:lang w:val="en-US"/>
        </w:rPr>
        <w:t>0</w:t>
      </w:r>
      <w:r>
        <w:rPr>
          <w:rFonts w:hint="eastAsia" w:ascii="仿宋_GB2312" w:eastAsia="仿宋_GB2312"/>
          <w:color w:val="auto"/>
          <w:spacing w:val="0"/>
          <w:sz w:val="32"/>
          <w:highlight w:val="none"/>
          <w:u w:val="single"/>
          <w:shd w:val="clear"/>
          <w:lang w:val="en-US" w:eastAsia="zh-CN"/>
        </w:rPr>
        <w:t>25</w:t>
      </w:r>
      <w:r>
        <w:rPr>
          <w:rFonts w:hint="eastAsia" w:ascii="仿宋_GB2312" w:eastAsia="仿宋_GB2312"/>
          <w:color w:val="auto"/>
          <w:spacing w:val="0"/>
          <w:sz w:val="32"/>
          <w:highlight w:val="none"/>
          <w:shd w:val="clear"/>
          <w:lang w:val="en-US"/>
        </w:rPr>
        <w:t>年</w:t>
      </w:r>
      <w:r>
        <w:rPr>
          <w:rFonts w:hint="eastAsia" w:ascii="仿宋_GB2312" w:eastAsia="仿宋_GB2312"/>
          <w:color w:val="auto"/>
          <w:spacing w:val="0"/>
          <w:sz w:val="32"/>
          <w:highlight w:val="none"/>
          <w:u w:val="single"/>
          <w:shd w:val="clear"/>
          <w:lang w:val="en-US" w:eastAsia="zh-CN"/>
        </w:rPr>
        <w:t>10</w:t>
      </w:r>
      <w:r>
        <w:rPr>
          <w:rFonts w:hint="eastAsia" w:ascii="仿宋_GB2312" w:eastAsia="仿宋_GB2312"/>
          <w:color w:val="auto"/>
          <w:spacing w:val="0"/>
          <w:sz w:val="32"/>
          <w:highlight w:val="none"/>
          <w:shd w:val="clear"/>
          <w:lang w:val="en-US" w:eastAsia="zh-CN"/>
        </w:rPr>
        <w:t>月-</w:t>
      </w:r>
      <w:r>
        <w:rPr>
          <w:rFonts w:hint="eastAsia" w:ascii="仿宋_GB2312" w:eastAsia="仿宋_GB2312"/>
          <w:bCs/>
          <w:color w:val="auto"/>
          <w:spacing w:val="0"/>
          <w:sz w:val="32"/>
          <w:szCs w:val="32"/>
          <w:highlight w:val="none"/>
          <w:shd w:val="clear"/>
          <w:lang w:val="en-US"/>
        </w:rPr>
        <w:t>2</w:t>
      </w:r>
      <w:r>
        <w:rPr>
          <w:rFonts w:ascii="仿宋_GB2312" w:eastAsia="仿宋_GB2312"/>
          <w:bCs/>
          <w:color w:val="auto"/>
          <w:spacing w:val="0"/>
          <w:sz w:val="32"/>
          <w:szCs w:val="32"/>
          <w:highlight w:val="none"/>
          <w:shd w:val="clear"/>
          <w:lang w:val="en-US"/>
        </w:rPr>
        <w:t>0</w:t>
      </w:r>
      <w:r>
        <w:rPr>
          <w:rFonts w:hint="eastAsia" w:ascii="仿宋_GB2312" w:eastAsia="仿宋_GB2312"/>
          <w:color w:val="auto"/>
          <w:spacing w:val="0"/>
          <w:sz w:val="32"/>
          <w:highlight w:val="none"/>
          <w:u w:val="single"/>
          <w:shd w:val="clear"/>
          <w:lang w:val="en-US" w:eastAsia="zh-CN"/>
        </w:rPr>
        <w:t>26</w:t>
      </w:r>
      <w:r>
        <w:rPr>
          <w:rFonts w:hint="eastAsia" w:ascii="仿宋_GB2312" w:eastAsia="仿宋_GB2312"/>
          <w:color w:val="auto"/>
          <w:spacing w:val="0"/>
          <w:sz w:val="32"/>
          <w:highlight w:val="none"/>
          <w:shd w:val="clear"/>
          <w:lang w:val="en-US"/>
        </w:rPr>
        <w:t>年</w:t>
      </w:r>
      <w:r>
        <w:rPr>
          <w:rFonts w:hint="eastAsia" w:ascii="仿宋_GB2312" w:eastAsia="仿宋_GB2312"/>
          <w:color w:val="auto"/>
          <w:spacing w:val="0"/>
          <w:sz w:val="32"/>
          <w:highlight w:val="none"/>
          <w:u w:val="single"/>
          <w:shd w:val="clear"/>
          <w:lang w:val="en-US" w:eastAsia="zh-CN"/>
        </w:rPr>
        <w:t>3</w:t>
      </w:r>
      <w:r>
        <w:rPr>
          <w:rFonts w:hint="eastAsia" w:ascii="仿宋_GB2312" w:eastAsia="仿宋_GB2312"/>
          <w:color w:val="auto"/>
          <w:spacing w:val="0"/>
          <w:sz w:val="32"/>
          <w:highlight w:val="none"/>
          <w:shd w:val="clear"/>
          <w:lang w:val="en-US" w:eastAsia="zh-CN"/>
        </w:rPr>
        <w:t>月</w:t>
      </w:r>
      <w:r>
        <w:rPr>
          <w:rFonts w:hint="eastAsia" w:ascii="仿宋_GB2312" w:eastAsia="仿宋_GB2312"/>
          <w:color w:val="auto"/>
          <w:spacing w:val="0"/>
          <w:sz w:val="32"/>
          <w:highlight w:val="none"/>
          <w:u w:val="single"/>
          <w:shd w:val="clear"/>
          <w:lang w:val="en-US" w:eastAsia="zh-CN"/>
        </w:rPr>
        <w:t>31日新域</w:t>
      </w:r>
      <w:r>
        <w:rPr>
          <w:rFonts w:hint="eastAsia" w:ascii="仿宋_GB2312" w:eastAsia="仿宋_GB2312"/>
          <w:color w:val="auto"/>
          <w:spacing w:val="0"/>
          <w:sz w:val="32"/>
          <w:highlight w:val="none"/>
          <w:shd w:val="clear"/>
          <w:lang w:val="en-US" w:eastAsia="zh-CN"/>
        </w:rPr>
        <w:t>煤矿</w:t>
      </w:r>
      <w:r>
        <w:rPr>
          <w:rFonts w:hint="eastAsia" w:ascii="仿宋_GB2312" w:hAnsi="仿宋_GB2312" w:eastAsia="仿宋_GB2312"/>
          <w:bCs/>
          <w:spacing w:val="0"/>
          <w:sz w:val="32"/>
          <w:szCs w:val="32"/>
          <w:u w:val="single"/>
          <w:lang w:val="en-US" w:eastAsia="zh-CN"/>
        </w:rPr>
        <w:t>汽车</w:t>
      </w:r>
      <w:r>
        <w:rPr>
          <w:rFonts w:hint="eastAsia" w:ascii="仿宋_GB2312" w:eastAsia="仿宋_GB2312"/>
          <w:color w:val="auto"/>
          <w:spacing w:val="0"/>
          <w:sz w:val="32"/>
          <w:highlight w:val="none"/>
          <w:shd w:val="clear"/>
          <w:lang w:val="en-US" w:eastAsia="zh-CN"/>
        </w:rPr>
        <w:t>运输</w:t>
      </w:r>
      <w:r>
        <w:rPr>
          <w:rFonts w:hint="eastAsia" w:ascii="仿宋_GB2312" w:eastAsia="仿宋_GB2312"/>
          <w:color w:val="auto"/>
          <w:spacing w:val="0"/>
          <w:sz w:val="32"/>
          <w:highlight w:val="none"/>
          <w:lang w:val="en-US"/>
        </w:rPr>
        <w:t>竞价采用线上竞价方式。在燃煤竞价平台注册的供应商均可参与此竞价报价</w:t>
      </w:r>
      <w:r>
        <w:rPr>
          <w:rFonts w:hint="eastAsia" w:ascii="仿宋_GB2312" w:eastAsia="仿宋_GB2312"/>
          <w:color w:val="auto"/>
          <w:spacing w:val="0"/>
          <w:sz w:val="32"/>
          <w:highlight w:val="none"/>
          <w:lang w:val="en-US" w:eastAsia="zh-CN"/>
        </w:rPr>
        <w:t>，</w:t>
      </w:r>
      <w:r>
        <w:rPr>
          <w:rFonts w:hint="eastAsia" w:ascii="仿宋_GB2312" w:eastAsia="仿宋_GB2312"/>
          <w:color w:val="auto"/>
          <w:spacing w:val="0"/>
          <w:sz w:val="32"/>
          <w:highlight w:val="none"/>
          <w:lang w:val="en-US"/>
        </w:rPr>
        <w:t>在规定时间内需通过</w:t>
      </w:r>
      <w:r>
        <w:rPr>
          <w:rFonts w:hint="eastAsia" w:ascii="仿宋_GB2312" w:eastAsia="仿宋_GB2312"/>
          <w:color w:val="auto"/>
          <w:spacing w:val="0"/>
          <w:sz w:val="32"/>
          <w:highlight w:val="none"/>
          <w:lang w:val="en-US" w:eastAsia="zh-CN"/>
        </w:rPr>
        <w:t>中国华电集团有限公司电煤</w:t>
      </w:r>
      <w:r>
        <w:rPr>
          <w:rFonts w:hint="eastAsia" w:ascii="仿宋_GB2312" w:eastAsia="仿宋_GB2312"/>
          <w:color w:val="auto"/>
          <w:spacing w:val="0"/>
          <w:sz w:val="32"/>
          <w:highlight w:val="none"/>
          <w:lang w:val="en-US"/>
        </w:rPr>
        <w:t>竞价平台（http://hdjj.chd.com.cn）进行报价</w:t>
      </w:r>
      <w:r>
        <w:rPr>
          <w:rFonts w:hint="eastAsia" w:ascii="仿宋_GB2312" w:eastAsia="仿宋_GB2312"/>
          <w:color w:val="auto"/>
          <w:spacing w:val="0"/>
          <w:sz w:val="32"/>
          <w:highlight w:val="none"/>
          <w:lang w:val="en-US" w:eastAsia="zh-CN"/>
        </w:rPr>
        <w:t>，</w:t>
      </w:r>
      <w:r>
        <w:rPr>
          <w:rFonts w:hint="eastAsia" w:ascii="仿宋_GB2312" w:eastAsia="仿宋_GB2312"/>
          <w:color w:val="auto"/>
          <w:spacing w:val="0"/>
          <w:sz w:val="32"/>
          <w:highlight w:val="none"/>
          <w:lang w:val="en-US"/>
        </w:rPr>
        <w:t>在本次竞价截止后报价视为无效。本次报价不</w:t>
      </w:r>
      <w:r>
        <w:rPr>
          <w:rFonts w:hint="eastAsia" w:ascii="仿宋_GB2312" w:eastAsia="仿宋_GB2312"/>
          <w:color w:val="auto"/>
          <w:spacing w:val="0"/>
          <w:sz w:val="32"/>
          <w:highlight w:val="none"/>
          <w:lang w:val="en-US" w:eastAsia="zh-CN"/>
        </w:rPr>
        <w:t>接受</w:t>
      </w:r>
      <w:r>
        <w:rPr>
          <w:rFonts w:hint="eastAsia" w:ascii="仿宋_GB2312" w:eastAsia="仿宋_GB2312"/>
          <w:color w:val="auto"/>
          <w:spacing w:val="0"/>
          <w:sz w:val="32"/>
          <w:highlight w:val="none"/>
          <w:lang w:val="en-US"/>
        </w:rPr>
        <w:t>线下方式报价，不接受供应商口头报价（或口头修改价格）。</w:t>
      </w:r>
    </w:p>
    <w:p w14:paraId="1766A327">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rPr>
        <w:t>（</w:t>
      </w:r>
      <w:r>
        <w:rPr>
          <w:rFonts w:hint="eastAsia" w:ascii="仿宋_GB2312" w:eastAsia="仿宋_GB2312"/>
          <w:color w:val="auto"/>
          <w:spacing w:val="0"/>
          <w:sz w:val="32"/>
          <w:highlight w:val="none"/>
          <w:lang w:val="en-US" w:eastAsia="zh-CN"/>
        </w:rPr>
        <w:t>二</w:t>
      </w:r>
      <w:r>
        <w:rPr>
          <w:rFonts w:hint="eastAsia" w:ascii="仿宋_GB2312" w:eastAsia="仿宋_GB2312"/>
          <w:color w:val="auto"/>
          <w:spacing w:val="0"/>
          <w:sz w:val="32"/>
          <w:highlight w:val="none"/>
        </w:rPr>
        <w:t>）</w:t>
      </w:r>
      <w:r>
        <w:rPr>
          <w:rFonts w:hint="eastAsia" w:ascii="仿宋_GB2312" w:eastAsia="仿宋_GB2312" w:hAnsiTheme="minorHAnsi" w:cstheme="minorBidi"/>
          <w:color w:val="auto"/>
          <w:spacing w:val="0"/>
          <w:sz w:val="32"/>
          <w:szCs w:val="24"/>
          <w:highlight w:val="none"/>
        </w:rPr>
        <w:t>参与煤业物资公司燃煤竞价的供应商，在报价截止前必须将</w:t>
      </w:r>
      <w:r>
        <w:rPr>
          <w:rFonts w:hint="eastAsia" w:ascii="仿宋_GB2312" w:eastAsia="仿宋_GB2312" w:hAnsiTheme="minorHAnsi" w:cstheme="minorBidi"/>
          <w:b w:val="0"/>
          <w:bCs w:val="0"/>
          <w:color w:val="auto"/>
          <w:spacing w:val="0"/>
          <w:sz w:val="32"/>
          <w:szCs w:val="24"/>
          <w:highlight w:val="none"/>
        </w:rPr>
        <w:t>5万元</w:t>
      </w:r>
      <w:r>
        <w:rPr>
          <w:rFonts w:hint="eastAsia" w:ascii="仿宋_GB2312" w:eastAsia="仿宋_GB2312" w:hAnsiTheme="minorHAnsi" w:cstheme="minorBidi"/>
          <w:color w:val="auto"/>
          <w:spacing w:val="0"/>
          <w:sz w:val="32"/>
          <w:szCs w:val="24"/>
          <w:highlight w:val="none"/>
        </w:rPr>
        <w:t>竞价保证金通过转账的方式交至煤业物资公司，</w:t>
      </w:r>
      <w:r>
        <w:rPr>
          <w:rFonts w:hint="eastAsia" w:ascii="仿宋_GB2312" w:eastAsia="仿宋_GB2312"/>
          <w:color w:val="auto"/>
          <w:spacing w:val="0"/>
          <w:sz w:val="32"/>
          <w:highlight w:val="none"/>
        </w:rPr>
        <w:t>且缴纳单位与</w:t>
      </w:r>
      <w:r>
        <w:rPr>
          <w:rFonts w:hint="eastAsia" w:ascii="仿宋_GB2312" w:eastAsia="仿宋_GB2312"/>
          <w:color w:val="auto"/>
          <w:spacing w:val="0"/>
          <w:sz w:val="32"/>
          <w:highlight w:val="none"/>
          <w:lang w:val="en-US" w:eastAsia="zh-CN"/>
        </w:rPr>
        <w:t>参与</w:t>
      </w:r>
      <w:r>
        <w:rPr>
          <w:rFonts w:hint="eastAsia" w:ascii="仿宋_GB2312" w:eastAsia="仿宋_GB2312"/>
          <w:color w:val="auto"/>
          <w:spacing w:val="0"/>
          <w:sz w:val="32"/>
          <w:highlight w:val="none"/>
        </w:rPr>
        <w:t>竞价单位保持一致，</w:t>
      </w:r>
      <w:r>
        <w:rPr>
          <w:rFonts w:hint="eastAsia" w:ascii="仿宋_GB2312" w:eastAsia="仿宋_GB2312" w:hAnsiTheme="minorHAnsi" w:cstheme="minorBidi"/>
          <w:color w:val="auto"/>
          <w:spacing w:val="0"/>
          <w:sz w:val="32"/>
          <w:szCs w:val="24"/>
          <w:highlight w:val="none"/>
        </w:rPr>
        <w:t>并备注“公司名称+燃煤竞价保证金”，以煤业物资公司收到款项时间为准，报价截止前如供应商未按规定</w:t>
      </w:r>
      <w:r>
        <w:rPr>
          <w:rFonts w:hint="eastAsia" w:ascii="仿宋_GB2312" w:eastAsia="仿宋_GB2312"/>
          <w:color w:val="auto"/>
          <w:spacing w:val="0"/>
          <w:sz w:val="32"/>
          <w:highlight w:val="none"/>
          <w:lang w:eastAsia="zh-CN"/>
        </w:rPr>
        <w:t>足额</w:t>
      </w:r>
      <w:r>
        <w:rPr>
          <w:rFonts w:hint="eastAsia" w:ascii="仿宋_GB2312" w:eastAsia="仿宋_GB2312" w:hAnsiTheme="minorHAnsi" w:cstheme="minorBidi"/>
          <w:color w:val="auto"/>
          <w:spacing w:val="0"/>
          <w:sz w:val="32"/>
          <w:szCs w:val="24"/>
          <w:highlight w:val="none"/>
        </w:rPr>
        <w:t>缴纳</w:t>
      </w:r>
      <w:r>
        <w:rPr>
          <w:rFonts w:hint="eastAsia" w:ascii="仿宋_GB2312" w:eastAsia="仿宋_GB2312"/>
          <w:color w:val="auto"/>
          <w:spacing w:val="0"/>
          <w:sz w:val="32"/>
          <w:highlight w:val="none"/>
        </w:rPr>
        <w:t>竞价</w:t>
      </w:r>
      <w:r>
        <w:rPr>
          <w:rFonts w:hint="eastAsia" w:ascii="仿宋_GB2312" w:eastAsia="仿宋_GB2312" w:hAnsiTheme="minorHAnsi" w:cstheme="minorBidi"/>
          <w:color w:val="auto"/>
          <w:spacing w:val="0"/>
          <w:sz w:val="32"/>
          <w:szCs w:val="24"/>
          <w:highlight w:val="none"/>
        </w:rPr>
        <w:t>保证金的，视为投标无效。</w:t>
      </w:r>
    </w:p>
    <w:p w14:paraId="2E40C8E4">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lang w:eastAsia="zh-CN"/>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三</w:t>
      </w:r>
      <w:r>
        <w:rPr>
          <w:rFonts w:hint="eastAsia" w:ascii="仿宋_GB2312" w:eastAsia="仿宋_GB2312"/>
          <w:color w:val="auto"/>
          <w:spacing w:val="0"/>
          <w:sz w:val="32"/>
          <w:highlight w:val="none"/>
          <w:lang w:eastAsia="zh-CN"/>
        </w:rPr>
        <w:t>）报价截止后、未发中价通知书前，系统自动决标显示供应商为中价供应商，此时供应商申请撤销报价的申请有效，</w:t>
      </w:r>
      <w:r>
        <w:rPr>
          <w:rFonts w:hint="eastAsia" w:ascii="仿宋_GB2312" w:eastAsia="仿宋_GB2312"/>
          <w:color w:val="auto"/>
          <w:spacing w:val="0"/>
          <w:sz w:val="32"/>
          <w:highlight w:val="none"/>
          <w:lang w:val="en-US" w:eastAsia="zh-CN"/>
        </w:rPr>
        <w:t>但按照</w:t>
      </w:r>
      <w:r>
        <w:rPr>
          <w:rFonts w:hint="eastAsia" w:ascii="仿宋_GB2312" w:eastAsia="仿宋_GB2312" w:hAnsiTheme="minorHAnsi" w:cstheme="minorBidi"/>
          <w:b w:val="0"/>
          <w:bCs w:val="0"/>
          <w:color w:val="auto"/>
          <w:spacing w:val="0"/>
          <w:sz w:val="32"/>
          <w:szCs w:val="24"/>
          <w:highlight w:val="none"/>
        </w:rPr>
        <w:t>中价后不按规定签订合同</w:t>
      </w:r>
      <w:r>
        <w:rPr>
          <w:rFonts w:hint="eastAsia" w:ascii="仿宋_GB2312" w:eastAsia="仿宋_GB2312" w:cstheme="minorBidi"/>
          <w:b w:val="0"/>
          <w:bCs w:val="0"/>
          <w:color w:val="auto"/>
          <w:spacing w:val="0"/>
          <w:sz w:val="32"/>
          <w:szCs w:val="24"/>
          <w:highlight w:val="none"/>
          <w:lang w:val="en-US" w:eastAsia="zh-CN"/>
        </w:rPr>
        <w:t>处理。</w:t>
      </w:r>
    </w:p>
    <w:p w14:paraId="0EC43599">
      <w:pPr>
        <w:wordWrap/>
        <w:spacing w:line="560" w:lineRule="exact"/>
        <w:ind w:firstLine="640" w:firstLineChars="200"/>
        <w:jc w:val="left"/>
        <w:rPr>
          <w:rFonts w:hint="eastAsia" w:ascii="仿宋_GB2312" w:hAnsi="仿宋_GB2312" w:eastAsia="仿宋_GB2312" w:cs="仿宋_GB2312"/>
          <w:bCs/>
          <w:color w:val="000000"/>
          <w:spacing w:val="0"/>
          <w:sz w:val="32"/>
          <w:szCs w:val="32"/>
          <w:highlight w:val="none"/>
        </w:rPr>
      </w:pPr>
      <w:r>
        <w:rPr>
          <w:rFonts w:hint="eastAsia" w:ascii="仿宋_GB2312" w:eastAsia="仿宋_GB2312"/>
          <w:color w:val="auto"/>
          <w:spacing w:val="0"/>
          <w:sz w:val="32"/>
          <w:highlight w:val="none"/>
          <w:lang w:eastAsia="zh-CN"/>
        </w:rPr>
        <w:t>（四）</w:t>
      </w:r>
      <w:r>
        <w:rPr>
          <w:rFonts w:hint="eastAsia" w:ascii="仿宋_GB2312" w:hAnsi="仿宋_GB2312" w:eastAsia="仿宋_GB2312" w:cs="仿宋_GB2312"/>
          <w:bCs/>
          <w:color w:val="000000"/>
          <w:spacing w:val="0"/>
          <w:sz w:val="32"/>
          <w:szCs w:val="32"/>
          <w:highlight w:val="none"/>
          <w:lang w:val="en-US" w:eastAsia="zh-CN"/>
        </w:rPr>
        <w:t>参与报价的</w:t>
      </w:r>
      <w:r>
        <w:rPr>
          <w:rFonts w:hint="eastAsia" w:ascii="仿宋_GB2312" w:hAnsi="仿宋_GB2312" w:eastAsia="仿宋_GB2312" w:cs="仿宋_GB2312"/>
          <w:bCs/>
          <w:color w:val="000000"/>
          <w:spacing w:val="0"/>
          <w:sz w:val="32"/>
          <w:szCs w:val="32"/>
          <w:highlight w:val="none"/>
        </w:rPr>
        <w:t>供应商应根据自身能力，在报价时必须满足竞价有关要求，</w:t>
      </w:r>
      <w:r>
        <w:rPr>
          <w:rFonts w:hint="eastAsia" w:ascii="仿宋_GB2312" w:hAnsi="仿宋_GB2312" w:eastAsia="仿宋_GB2312" w:cs="仿宋_GB2312"/>
          <w:color w:val="000000"/>
          <w:spacing w:val="0"/>
          <w:sz w:val="32"/>
          <w:szCs w:val="32"/>
          <w:highlight w:val="none"/>
        </w:rPr>
        <w:t>报价</w:t>
      </w:r>
      <w:r>
        <w:rPr>
          <w:rFonts w:hint="eastAsia" w:ascii="仿宋_GB2312" w:hAnsi="仿宋_GB2312" w:eastAsia="仿宋_GB2312" w:cs="仿宋_GB2312"/>
          <w:color w:val="000000"/>
          <w:spacing w:val="0"/>
          <w:sz w:val="32"/>
          <w:szCs w:val="32"/>
          <w:highlight w:val="none"/>
          <w:lang w:val="en-US" w:eastAsia="zh-CN"/>
        </w:rPr>
        <w:t>的吨煤运价</w:t>
      </w:r>
      <w:r>
        <w:rPr>
          <w:rFonts w:hint="eastAsia" w:ascii="仿宋_GB2312" w:hAnsi="仿宋_GB2312" w:eastAsia="仿宋_GB2312" w:cs="仿宋_GB2312"/>
          <w:color w:val="000000"/>
          <w:spacing w:val="0"/>
          <w:sz w:val="32"/>
          <w:szCs w:val="32"/>
          <w:highlight w:val="none"/>
        </w:rPr>
        <w:t>应已包括煤炭运输至交货地点的全部费用。</w:t>
      </w:r>
      <w:r>
        <w:rPr>
          <w:rFonts w:hint="eastAsia" w:ascii="仿宋_GB2312" w:hAnsi="仿宋_GB2312" w:eastAsia="仿宋_GB2312" w:cs="仿宋_GB2312"/>
          <w:bCs/>
          <w:color w:val="000000"/>
          <w:spacing w:val="0"/>
          <w:sz w:val="32"/>
          <w:szCs w:val="32"/>
          <w:highlight w:val="none"/>
        </w:rPr>
        <w:t>杜绝恶意虚报价格，若供应商在报价中</w:t>
      </w:r>
      <w:r>
        <w:rPr>
          <w:rFonts w:hint="eastAsia" w:ascii="仿宋_GB2312" w:hAnsi="仿宋_GB2312" w:eastAsia="仿宋_GB2312" w:cs="仿宋_GB2312"/>
          <w:bCs/>
          <w:color w:val="000000"/>
          <w:spacing w:val="0"/>
          <w:sz w:val="32"/>
          <w:szCs w:val="32"/>
          <w:highlight w:val="none"/>
          <w:lang w:val="en-US" w:eastAsia="zh-CN"/>
        </w:rPr>
        <w:t>价</w:t>
      </w:r>
      <w:r>
        <w:rPr>
          <w:rFonts w:hint="eastAsia" w:ascii="仿宋_GB2312" w:hAnsi="仿宋_GB2312" w:eastAsia="仿宋_GB2312" w:cs="仿宋_GB2312"/>
          <w:bCs/>
          <w:color w:val="000000"/>
          <w:spacing w:val="0"/>
          <w:sz w:val="32"/>
          <w:szCs w:val="32"/>
          <w:highlight w:val="none"/>
        </w:rPr>
        <w:t>后供应过程中无法满足合同有关要求，影响</w:t>
      </w:r>
      <w:r>
        <w:rPr>
          <w:rFonts w:hint="eastAsia" w:ascii="仿宋_GB2312" w:hAnsi="仿宋_GB2312" w:eastAsia="仿宋_GB2312" w:cs="仿宋_GB2312"/>
          <w:bCs/>
          <w:color w:val="000000"/>
          <w:spacing w:val="0"/>
          <w:sz w:val="32"/>
          <w:szCs w:val="32"/>
          <w:highlight w:val="none"/>
          <w:lang w:val="en-US" w:eastAsia="zh-CN"/>
        </w:rPr>
        <w:t>电厂</w:t>
      </w:r>
      <w:r>
        <w:rPr>
          <w:rFonts w:hint="eastAsia" w:ascii="仿宋_GB2312" w:hAnsi="仿宋_GB2312" w:eastAsia="仿宋_GB2312" w:cs="仿宋_GB2312"/>
          <w:bCs/>
          <w:color w:val="000000"/>
          <w:spacing w:val="0"/>
          <w:sz w:val="32"/>
          <w:szCs w:val="32"/>
          <w:highlight w:val="none"/>
        </w:rPr>
        <w:t>运量，按照合同规定进行考核。</w:t>
      </w:r>
    </w:p>
    <w:p w14:paraId="197AD6D1">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五</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评价排序规则：同一标段中报价低者优先</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价格相同时，以系统显示的报价时间在前的优先中价</w:t>
      </w:r>
      <w:r>
        <w:rPr>
          <w:rFonts w:hint="eastAsia" w:ascii="仿宋_GB2312" w:eastAsia="仿宋_GB2312"/>
          <w:color w:val="auto"/>
          <w:spacing w:val="0"/>
          <w:sz w:val="32"/>
          <w:highlight w:val="none"/>
        </w:rPr>
        <w:t>。</w:t>
      </w:r>
    </w:p>
    <w:p w14:paraId="37EFEB96">
      <w:pPr>
        <w:spacing w:line="560" w:lineRule="exact"/>
        <w:ind w:firstLine="640" w:firstLineChars="200"/>
        <w:jc w:val="left"/>
        <w:rPr>
          <w:rFonts w:hint="eastAsia" w:ascii="仿宋_GB2312" w:hAnsi="仿宋_GB2312" w:eastAsia="仿宋_GB2312" w:cs="仿宋_GB2312"/>
          <w:bCs/>
          <w:color w:val="000000"/>
          <w:spacing w:val="0"/>
          <w:sz w:val="32"/>
          <w:szCs w:val="32"/>
          <w:highlight w:val="none"/>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六</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单位确定后，竞价结果将以电子邮件</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电话</w:t>
      </w:r>
      <w:r>
        <w:rPr>
          <w:rFonts w:hint="eastAsia" w:ascii="仿宋_GB2312" w:eastAsia="仿宋_GB2312"/>
          <w:color w:val="auto"/>
          <w:spacing w:val="0"/>
          <w:sz w:val="32"/>
          <w:highlight w:val="none"/>
          <w:lang w:eastAsia="zh-CN"/>
        </w:rPr>
        <w:t>、微信、</w:t>
      </w:r>
      <w:r>
        <w:rPr>
          <w:rFonts w:hint="eastAsia" w:ascii="仿宋_GB2312" w:eastAsia="仿宋_GB2312"/>
          <w:color w:val="auto"/>
          <w:spacing w:val="0"/>
          <w:sz w:val="32"/>
          <w:highlight w:val="none"/>
          <w:lang w:val="en-US" w:eastAsia="zh-CN"/>
        </w:rPr>
        <w:t>QQ等方式中的一种及时</w:t>
      </w:r>
      <w:r>
        <w:rPr>
          <w:rFonts w:hint="eastAsia" w:ascii="仿宋_GB2312" w:eastAsia="仿宋_GB2312"/>
          <w:color w:val="auto"/>
          <w:spacing w:val="0"/>
          <w:sz w:val="32"/>
          <w:highlight w:val="none"/>
        </w:rPr>
        <w:t>通知</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竞价供应商</w:t>
      </w:r>
      <w:r>
        <w:rPr>
          <w:rFonts w:hint="eastAsia" w:ascii="仿宋_GB2312" w:eastAsia="仿宋_GB2312"/>
          <w:color w:val="auto"/>
          <w:spacing w:val="0"/>
          <w:sz w:val="32"/>
          <w:highlight w:val="none"/>
          <w:lang w:eastAsia="zh-CN"/>
        </w:rPr>
        <w:t>。</w:t>
      </w:r>
    </w:p>
    <w:p w14:paraId="4F92461A">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八、</w:t>
      </w:r>
      <w:r>
        <w:rPr>
          <w:rFonts w:hint="eastAsia" w:ascii="黑体" w:hAnsi="黑体" w:eastAsia="黑体"/>
          <w:b/>
          <w:bCs/>
          <w:color w:val="auto"/>
          <w:spacing w:val="0"/>
          <w:sz w:val="32"/>
          <w:highlight w:val="none"/>
          <w:lang w:val="en-US"/>
        </w:rPr>
        <w:t>保证金管理</w:t>
      </w:r>
    </w:p>
    <w:p w14:paraId="33BB9632">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textAlignment w:val="auto"/>
        <w:rPr>
          <w:rFonts w:ascii="仿宋_GB2312" w:eastAsia="仿宋_GB2312"/>
          <w:b/>
          <w:bCs/>
          <w:color w:val="auto"/>
          <w:spacing w:val="0"/>
          <w:sz w:val="32"/>
          <w:highlight w:val="none"/>
        </w:rPr>
      </w:pPr>
      <w:r>
        <w:rPr>
          <w:rFonts w:hint="eastAsia" w:ascii="仿宋_GB2312" w:eastAsia="仿宋_GB2312"/>
          <w:b/>
          <w:bCs/>
          <w:color w:val="auto"/>
          <w:spacing w:val="0"/>
          <w:sz w:val="32"/>
          <w:highlight w:val="none"/>
        </w:rPr>
        <w:t>（一）竞价保证金</w:t>
      </w:r>
    </w:p>
    <w:p w14:paraId="6A5FA166">
      <w:pPr>
        <w:spacing w:line="560" w:lineRule="exact"/>
        <w:ind w:firstLine="640" w:firstLineChars="200"/>
        <w:jc w:val="left"/>
        <w:rPr>
          <w:rFonts w:hint="eastAsia" w:ascii="仿宋_GB2312" w:hAnsi="仿宋_GB2312" w:eastAsia="仿宋_GB2312" w:cs="仿宋_GB2312"/>
          <w:spacing w:val="0"/>
          <w:sz w:val="32"/>
          <w:szCs w:val="32"/>
        </w:rPr>
      </w:pPr>
      <w:r>
        <w:rPr>
          <w:rFonts w:hint="eastAsia" w:ascii="仿宋_GB2312" w:hAnsi="仿宋_GB2312" w:eastAsia="仿宋_GB2312" w:cs="仿宋_GB2312"/>
          <w:spacing w:val="0"/>
          <w:sz w:val="32"/>
          <w:szCs w:val="32"/>
          <w:lang w:val="en-US" w:eastAsia="zh-CN"/>
        </w:rPr>
        <w:t>1. 竞价</w:t>
      </w:r>
      <w:r>
        <w:rPr>
          <w:rFonts w:hint="eastAsia" w:ascii="仿宋_GB2312" w:hAnsi="仿宋_GB2312" w:eastAsia="仿宋_GB2312" w:cs="仿宋_GB2312"/>
          <w:spacing w:val="0"/>
          <w:sz w:val="32"/>
          <w:szCs w:val="32"/>
        </w:rPr>
        <w:t>保证金</w:t>
      </w:r>
      <w:r>
        <w:rPr>
          <w:rFonts w:hint="eastAsia" w:ascii="仿宋_GB2312" w:hAnsi="仿宋_GB2312" w:eastAsia="仿宋_GB2312" w:cs="仿宋_GB2312"/>
          <w:spacing w:val="0"/>
          <w:sz w:val="32"/>
          <w:szCs w:val="32"/>
          <w:lang w:val="en-US" w:eastAsia="zh-CN"/>
        </w:rPr>
        <w:t>5万元，</w:t>
      </w:r>
      <w:r>
        <w:rPr>
          <w:rFonts w:hint="eastAsia" w:ascii="仿宋_GB2312" w:hAnsi="仿宋_GB2312" w:eastAsia="仿宋_GB2312" w:cs="仿宋_GB2312"/>
          <w:spacing w:val="0"/>
          <w:sz w:val="32"/>
          <w:szCs w:val="32"/>
        </w:rPr>
        <w:t>通过供应商开户银行电汇的方式进行缴纳。不接受其他形式缴纳的保证金，如银行保函</w:t>
      </w:r>
      <w:r>
        <w:rPr>
          <w:rFonts w:hint="eastAsia" w:ascii="仿宋_GB2312" w:hAnsi="仿宋_GB2312" w:eastAsia="仿宋_GB2312" w:cs="仿宋_GB2312"/>
          <w:spacing w:val="0"/>
          <w:sz w:val="32"/>
          <w:szCs w:val="32"/>
          <w:lang w:eastAsia="zh-CN"/>
        </w:rPr>
        <w:t>、</w:t>
      </w:r>
      <w:r>
        <w:rPr>
          <w:rFonts w:hint="eastAsia" w:ascii="仿宋_GB2312" w:hAnsi="仿宋_GB2312" w:eastAsia="仿宋_GB2312" w:cs="仿宋_GB2312"/>
          <w:spacing w:val="0"/>
          <w:sz w:val="32"/>
          <w:szCs w:val="32"/>
        </w:rPr>
        <w:t>现金等，否则视为放弃报价权利。</w:t>
      </w:r>
      <w:r>
        <w:rPr>
          <w:rFonts w:hint="eastAsia" w:ascii="仿宋_GB2312" w:hAnsi="仿宋_GB2312" w:eastAsia="仿宋_GB2312" w:cs="仿宋_GB2312"/>
          <w:spacing w:val="0"/>
          <w:sz w:val="32"/>
          <w:szCs w:val="32"/>
          <w:lang w:val="en-US" w:eastAsia="zh-CN"/>
        </w:rPr>
        <w:t>供应商缴纳的</w:t>
      </w:r>
      <w:r>
        <w:rPr>
          <w:rFonts w:hint="eastAsia" w:ascii="仿宋_GB2312" w:hAnsi="仿宋_GB2312" w:eastAsia="仿宋_GB2312" w:cs="仿宋_GB2312"/>
          <w:spacing w:val="0"/>
          <w:sz w:val="32"/>
          <w:szCs w:val="32"/>
        </w:rPr>
        <w:t>竞价保证金当年有效，不限投标次数及标段。</w:t>
      </w:r>
    </w:p>
    <w:p w14:paraId="66CCE50E">
      <w:pPr>
        <w:spacing w:line="560" w:lineRule="exact"/>
        <w:ind w:firstLine="643" w:firstLineChars="200"/>
        <w:jc w:val="left"/>
        <w:rPr>
          <w:rFonts w:hint="eastAsia" w:ascii="仿宋_GB2312" w:hAnsi="仿宋_GB2312" w:eastAsia="仿宋_GB2312" w:cs="仿宋_GB2312"/>
          <w:b/>
          <w:bCs/>
          <w:spacing w:val="0"/>
          <w:sz w:val="32"/>
          <w:szCs w:val="32"/>
        </w:rPr>
      </w:pP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lang w:val="en-US" w:eastAsia="zh-CN"/>
        </w:rPr>
        <w:t>1</w:t>
      </w:r>
      <w:r>
        <w:rPr>
          <w:rFonts w:hint="eastAsia" w:ascii="仿宋_GB2312" w:hAnsi="仿宋_GB2312" w:eastAsia="仿宋_GB2312" w:cs="仿宋_GB2312"/>
          <w:b/>
          <w:bCs/>
          <w:spacing w:val="0"/>
          <w:sz w:val="32"/>
          <w:szCs w:val="32"/>
          <w:lang w:eastAsia="zh-CN"/>
        </w:rPr>
        <w:t>）</w:t>
      </w:r>
      <w:r>
        <w:rPr>
          <w:rFonts w:hint="eastAsia" w:ascii="仿宋_GB2312" w:hAnsi="仿宋_GB2312" w:eastAsia="仿宋_GB2312" w:cs="仿宋_GB2312"/>
          <w:b/>
          <w:bCs/>
          <w:spacing w:val="0"/>
          <w:sz w:val="32"/>
          <w:szCs w:val="32"/>
          <w:lang w:val="en-US" w:eastAsia="zh-CN"/>
        </w:rPr>
        <w:t>竞价</w:t>
      </w:r>
      <w:r>
        <w:rPr>
          <w:rFonts w:hint="eastAsia" w:ascii="仿宋_GB2312" w:hAnsi="仿宋_GB2312" w:eastAsia="仿宋_GB2312" w:cs="仿宋_GB2312"/>
          <w:b/>
          <w:bCs/>
          <w:spacing w:val="0"/>
          <w:sz w:val="32"/>
          <w:szCs w:val="32"/>
        </w:rPr>
        <w:t>保证金收取账户：</w:t>
      </w:r>
    </w:p>
    <w:p w14:paraId="4CA948EC">
      <w:pPr>
        <w:spacing w:line="560" w:lineRule="exact"/>
        <w:ind w:firstLine="640" w:firstLineChars="200"/>
        <w:rPr>
          <w:rFonts w:hint="eastAsia" w:ascii="仿宋_GB2312" w:hAnsi="仿宋_GB2312" w:eastAsia="仿宋_GB2312" w:cs="仿宋_GB2312"/>
          <w:b w:val="0"/>
          <w:bCs w:val="0"/>
          <w:spacing w:val="0"/>
          <w:sz w:val="32"/>
          <w:szCs w:val="32"/>
        </w:rPr>
      </w:pPr>
      <w:r>
        <w:rPr>
          <w:rFonts w:hint="eastAsia" w:ascii="仿宋_GB2312" w:eastAsia="仿宋_GB2312"/>
          <w:b w:val="0"/>
          <w:bCs w:val="0"/>
          <w:color w:val="auto"/>
          <w:spacing w:val="0"/>
          <w:sz w:val="32"/>
          <w:highlight w:val="none"/>
        </w:rPr>
        <w:t>收款单位名称</w:t>
      </w:r>
      <w:r>
        <w:rPr>
          <w:rFonts w:hint="eastAsia" w:ascii="仿宋_GB2312" w:hAnsi="仿宋_GB2312" w:eastAsia="仿宋_GB2312" w:cs="仿宋_GB2312"/>
          <w:b w:val="0"/>
          <w:bCs w:val="0"/>
          <w:spacing w:val="0"/>
          <w:sz w:val="32"/>
          <w:szCs w:val="32"/>
        </w:rPr>
        <w:t>：新疆华电煤业物资有限公司</w:t>
      </w:r>
    </w:p>
    <w:p w14:paraId="3D3AD49B">
      <w:pPr>
        <w:spacing w:line="560" w:lineRule="exact"/>
        <w:ind w:firstLine="640" w:firstLineChars="200"/>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 xml:space="preserve">账    号：65001610200052506542 </w:t>
      </w:r>
    </w:p>
    <w:p w14:paraId="6C61515E">
      <w:pPr>
        <w:spacing w:line="560" w:lineRule="exact"/>
        <w:ind w:firstLine="640" w:firstLineChars="200"/>
        <w:rPr>
          <w:rFonts w:hint="eastAsia" w:ascii="仿宋_GB2312" w:hAnsi="仿宋_GB2312" w:eastAsia="仿宋_GB2312" w:cs="仿宋_GB2312"/>
          <w:b w:val="0"/>
          <w:bCs w:val="0"/>
          <w:spacing w:val="0"/>
          <w:sz w:val="32"/>
          <w:szCs w:val="32"/>
        </w:rPr>
      </w:pPr>
      <w:r>
        <w:rPr>
          <w:rFonts w:hint="eastAsia" w:ascii="仿宋_GB2312" w:hAnsi="仿宋_GB2312" w:eastAsia="仿宋_GB2312" w:cs="仿宋_GB2312"/>
          <w:b w:val="0"/>
          <w:bCs w:val="0"/>
          <w:spacing w:val="0"/>
          <w:sz w:val="32"/>
          <w:szCs w:val="32"/>
        </w:rPr>
        <w:t xml:space="preserve">开户银行：中国建设银行股份有限公司乌鲁木齐人民路支行  </w:t>
      </w:r>
    </w:p>
    <w:p w14:paraId="5E962725">
      <w:pPr>
        <w:spacing w:line="560" w:lineRule="exact"/>
        <w:ind w:firstLine="640" w:firstLineChars="200"/>
        <w:rPr>
          <w:rFonts w:hint="eastAsia" w:ascii="仿宋_GB2312" w:hAnsi="仿宋_GB2312" w:eastAsia="仿宋_GB2312" w:cs="仿宋_GB2312"/>
          <w:b/>
          <w:color w:val="000000"/>
          <w:spacing w:val="0"/>
          <w:sz w:val="32"/>
          <w:szCs w:val="32"/>
          <w:highlight w:val="none"/>
        </w:rPr>
      </w:pPr>
      <w:r>
        <w:rPr>
          <w:rFonts w:hint="eastAsia" w:ascii="仿宋_GB2312" w:hAnsi="仿宋_GB2312" w:eastAsia="仿宋_GB2312" w:cs="仿宋_GB2312"/>
          <w:b w:val="0"/>
          <w:bCs w:val="0"/>
          <w:spacing w:val="0"/>
          <w:sz w:val="32"/>
          <w:szCs w:val="32"/>
        </w:rPr>
        <w:t>联系电话：</w:t>
      </w:r>
      <w:r>
        <w:rPr>
          <w:rFonts w:hint="eastAsia" w:ascii="仿宋_GB2312" w:hAnsi="仿宋_GB2312" w:eastAsia="仿宋_GB2312" w:cs="仿宋_GB2312"/>
          <w:spacing w:val="0"/>
          <w:sz w:val="32"/>
          <w:szCs w:val="32"/>
        </w:rPr>
        <w:t>0991-4882139</w:t>
      </w:r>
    </w:p>
    <w:p w14:paraId="33E2B4F3">
      <w:pPr>
        <w:autoSpaceDE w:val="0"/>
        <w:autoSpaceDN w:val="0"/>
        <w:spacing w:line="560" w:lineRule="exact"/>
        <w:ind w:firstLine="640" w:firstLineChars="200"/>
        <w:rPr>
          <w:rFonts w:hint="eastAsia" w:ascii="仿宋_GB2312" w:eastAsia="仿宋_GB2312"/>
          <w:b/>
          <w:bCs/>
          <w:color w:val="auto"/>
          <w:spacing w:val="0"/>
          <w:sz w:val="32"/>
          <w:highlight w:val="none"/>
        </w:rPr>
      </w:pP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2</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各供应商必须使用报价单位（名称）相对应的银行</w:t>
      </w:r>
      <w:r>
        <w:rPr>
          <w:rFonts w:hint="eastAsia" w:ascii="仿宋_GB2312" w:eastAsia="仿宋_GB2312"/>
          <w:color w:val="auto"/>
          <w:spacing w:val="0"/>
          <w:sz w:val="32"/>
          <w:highlight w:val="none"/>
          <w:lang w:val="en-US" w:eastAsia="zh-CN"/>
        </w:rPr>
        <w:t>账</w:t>
      </w:r>
      <w:r>
        <w:rPr>
          <w:rFonts w:hint="eastAsia" w:ascii="仿宋_GB2312" w:eastAsia="仿宋_GB2312"/>
          <w:color w:val="auto"/>
          <w:spacing w:val="0"/>
          <w:sz w:val="32"/>
          <w:highlight w:val="none"/>
        </w:rPr>
        <w:t>户进行“</w:t>
      </w:r>
      <w:r>
        <w:rPr>
          <w:rFonts w:hint="eastAsia" w:ascii="仿宋_GB2312" w:eastAsia="仿宋_GB2312"/>
          <w:color w:val="auto"/>
          <w:spacing w:val="0"/>
          <w:sz w:val="32"/>
          <w:highlight w:val="none"/>
          <w:lang w:val="en-US" w:eastAsia="zh-CN"/>
        </w:rPr>
        <w:t>竞价</w:t>
      </w:r>
      <w:r>
        <w:rPr>
          <w:rFonts w:hint="eastAsia" w:ascii="仿宋_GB2312" w:eastAsia="仿宋_GB2312"/>
          <w:color w:val="auto"/>
          <w:spacing w:val="0"/>
          <w:sz w:val="32"/>
          <w:highlight w:val="none"/>
        </w:rPr>
        <w:t>保证金”的</w:t>
      </w:r>
      <w:r>
        <w:rPr>
          <w:rFonts w:hint="eastAsia" w:ascii="仿宋_GB2312" w:eastAsia="仿宋_GB2312"/>
          <w:color w:val="auto"/>
          <w:spacing w:val="0"/>
          <w:sz w:val="32"/>
          <w:highlight w:val="none"/>
          <w:lang w:val="en-US" w:eastAsia="zh-CN"/>
        </w:rPr>
        <w:t>缴纳</w:t>
      </w:r>
      <w:r>
        <w:rPr>
          <w:rFonts w:hint="eastAsia" w:ascii="仿宋_GB2312" w:eastAsia="仿宋_GB2312"/>
          <w:color w:val="auto"/>
          <w:spacing w:val="0"/>
          <w:sz w:val="32"/>
          <w:highlight w:val="none"/>
        </w:rPr>
        <w:t>；若</w:t>
      </w:r>
      <w:r>
        <w:rPr>
          <w:rFonts w:hint="eastAsia" w:ascii="仿宋_GB2312" w:eastAsia="仿宋_GB2312"/>
          <w:color w:val="auto"/>
          <w:spacing w:val="0"/>
          <w:sz w:val="32"/>
          <w:highlight w:val="none"/>
          <w:lang w:val="en-US" w:eastAsia="zh-CN"/>
        </w:rPr>
        <w:t>缴纳</w:t>
      </w:r>
      <w:r>
        <w:rPr>
          <w:rFonts w:hint="eastAsia" w:ascii="仿宋_GB2312" w:eastAsia="仿宋_GB2312"/>
          <w:color w:val="auto"/>
          <w:spacing w:val="0"/>
          <w:sz w:val="32"/>
          <w:highlight w:val="none"/>
        </w:rPr>
        <w:t>单位（名称）与报价单位（名称）不一致，或</w:t>
      </w:r>
      <w:r>
        <w:rPr>
          <w:rFonts w:hint="eastAsia" w:ascii="仿宋_GB2312" w:eastAsia="仿宋_GB2312"/>
          <w:color w:val="auto"/>
          <w:spacing w:val="0"/>
          <w:sz w:val="32"/>
          <w:highlight w:val="none"/>
          <w:lang w:eastAsia="zh-CN"/>
        </w:rPr>
        <w:t>个人账户转账</w:t>
      </w:r>
      <w:r>
        <w:rPr>
          <w:rFonts w:hint="eastAsia" w:ascii="仿宋_GB2312" w:eastAsia="仿宋_GB2312"/>
          <w:color w:val="auto"/>
          <w:spacing w:val="0"/>
          <w:sz w:val="32"/>
          <w:highlight w:val="none"/>
        </w:rPr>
        <w:t xml:space="preserve">，均视为无效的“竞价保证金”。 </w:t>
      </w:r>
    </w:p>
    <w:p w14:paraId="141F5A6F">
      <w:pPr>
        <w:autoSpaceDE w:val="0"/>
        <w:autoSpaceDN w:val="0"/>
        <w:spacing w:line="560" w:lineRule="exact"/>
        <w:ind w:firstLine="640" w:firstLineChars="200"/>
        <w:rPr>
          <w:rFonts w:hint="eastAsia" w:ascii="仿宋_GB2312" w:eastAsia="仿宋_GB2312" w:hAnsiTheme="minorHAnsi" w:cstheme="minorBidi"/>
          <w:b w:val="0"/>
          <w:bCs w:val="0"/>
          <w:color w:val="auto"/>
          <w:spacing w:val="0"/>
          <w:sz w:val="32"/>
          <w:szCs w:val="24"/>
          <w:highlight w:val="none"/>
        </w:rPr>
      </w:pPr>
      <w:r>
        <w:rPr>
          <w:rFonts w:hint="eastAsia" w:ascii="仿宋_GB2312" w:eastAsia="仿宋_GB2312"/>
          <w:b w:val="0"/>
          <w:bCs w:val="0"/>
          <w:color w:val="auto"/>
          <w:spacing w:val="0"/>
          <w:sz w:val="32"/>
          <w:highlight w:val="none"/>
          <w:lang w:eastAsia="zh-CN"/>
        </w:rPr>
        <w:t>2</w:t>
      </w:r>
      <w:r>
        <w:rPr>
          <w:rFonts w:hint="eastAsia" w:ascii="仿宋_GB2312" w:eastAsia="仿宋_GB2312" w:cstheme="minorBidi"/>
          <w:b w:val="0"/>
          <w:bCs w:val="0"/>
          <w:color w:val="auto"/>
          <w:spacing w:val="0"/>
          <w:sz w:val="32"/>
          <w:szCs w:val="24"/>
          <w:highlight w:val="none"/>
          <w:lang w:val="en-US" w:eastAsia="zh-CN"/>
        </w:rPr>
        <w:t xml:space="preserve">. </w:t>
      </w:r>
      <w:r>
        <w:rPr>
          <w:rFonts w:hint="eastAsia" w:ascii="仿宋_GB2312" w:eastAsia="仿宋_GB2312"/>
          <w:color w:val="auto"/>
          <w:spacing w:val="0"/>
          <w:sz w:val="32"/>
          <w:highlight w:val="none"/>
        </w:rPr>
        <w:t>接到</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通知后3日内未</w:t>
      </w:r>
      <w:r>
        <w:rPr>
          <w:rFonts w:hint="eastAsia" w:ascii="仿宋_GB2312" w:eastAsia="仿宋_GB2312"/>
          <w:color w:val="auto"/>
          <w:spacing w:val="0"/>
          <w:sz w:val="32"/>
          <w:highlight w:val="none"/>
          <w:lang w:eastAsia="zh-CN"/>
        </w:rPr>
        <w:t>签订</w:t>
      </w:r>
      <w:r>
        <w:rPr>
          <w:rFonts w:hint="eastAsia" w:ascii="仿宋_GB2312" w:eastAsia="仿宋_GB2312"/>
          <w:color w:val="auto"/>
          <w:spacing w:val="0"/>
          <w:sz w:val="32"/>
          <w:highlight w:val="none"/>
        </w:rPr>
        <w:t>煤炭买卖合同，</w:t>
      </w:r>
      <w:r>
        <w:rPr>
          <w:rFonts w:hint="eastAsia" w:ascii="仿宋_GB2312" w:eastAsia="仿宋_GB2312"/>
          <w:color w:val="auto"/>
          <w:spacing w:val="0"/>
          <w:sz w:val="32"/>
          <w:highlight w:val="none"/>
          <w:lang w:val="en-US" w:eastAsia="zh-CN"/>
        </w:rPr>
        <w:t>扣除</w:t>
      </w:r>
      <w:r>
        <w:rPr>
          <w:rFonts w:hint="eastAsia" w:ascii="仿宋_GB2312" w:eastAsia="仿宋_GB2312"/>
          <w:b w:val="0"/>
          <w:bCs w:val="0"/>
          <w:color w:val="auto"/>
          <w:spacing w:val="0"/>
          <w:sz w:val="32"/>
          <w:highlight w:val="none"/>
        </w:rPr>
        <w:t>竞价保证金</w:t>
      </w:r>
      <w:r>
        <w:rPr>
          <w:rFonts w:hint="eastAsia" w:ascii="仿宋_GB2312" w:eastAsia="仿宋_GB2312"/>
          <w:b w:val="0"/>
          <w:bCs w:val="0"/>
          <w:color w:val="auto"/>
          <w:spacing w:val="0"/>
          <w:sz w:val="32"/>
          <w:highlight w:val="none"/>
          <w:lang w:val="en-US" w:eastAsia="zh-CN"/>
        </w:rPr>
        <w:t>5万元</w:t>
      </w:r>
      <w:r>
        <w:rPr>
          <w:rFonts w:hint="eastAsia" w:ascii="仿宋_GB2312" w:eastAsia="仿宋_GB2312"/>
          <w:b w:val="0"/>
          <w:bCs w:val="0"/>
          <w:color w:val="auto"/>
          <w:spacing w:val="0"/>
          <w:sz w:val="32"/>
          <w:highlight w:val="none"/>
          <w:lang w:eastAsia="zh-CN"/>
        </w:rPr>
        <w:t>，并</w:t>
      </w:r>
      <w:r>
        <w:rPr>
          <w:rFonts w:hint="eastAsia" w:ascii="仿宋_GB2312" w:eastAsia="仿宋_GB2312" w:hAnsiTheme="minorHAnsi" w:cstheme="minorBidi"/>
          <w:b w:val="0"/>
          <w:bCs w:val="0"/>
          <w:color w:val="auto"/>
          <w:spacing w:val="0"/>
          <w:kern w:val="2"/>
          <w:sz w:val="32"/>
          <w:szCs w:val="24"/>
          <w:highlight w:val="none"/>
        </w:rPr>
        <w:t>执行6个月惩戒期，惩戒期内不得与</w:t>
      </w:r>
      <w:r>
        <w:rPr>
          <w:rFonts w:hint="eastAsia" w:ascii="仿宋_GB2312" w:eastAsia="仿宋_GB2312" w:cstheme="minorBidi"/>
          <w:b w:val="0"/>
          <w:bCs w:val="0"/>
          <w:color w:val="auto"/>
          <w:spacing w:val="0"/>
          <w:kern w:val="2"/>
          <w:sz w:val="32"/>
          <w:szCs w:val="24"/>
          <w:highlight w:val="none"/>
          <w:lang w:val="en-US" w:eastAsia="zh-CN"/>
        </w:rPr>
        <w:t>华电</w:t>
      </w:r>
      <w:r>
        <w:rPr>
          <w:rFonts w:hint="eastAsia" w:ascii="仿宋_GB2312" w:eastAsia="仿宋_GB2312" w:hAnsiTheme="minorHAnsi" w:cstheme="minorBidi"/>
          <w:b w:val="0"/>
          <w:bCs w:val="0"/>
          <w:color w:val="auto"/>
          <w:spacing w:val="0"/>
          <w:kern w:val="2"/>
          <w:sz w:val="32"/>
          <w:szCs w:val="24"/>
          <w:highlight w:val="none"/>
          <w:lang w:val="en-US" w:eastAsia="zh-CN"/>
        </w:rPr>
        <w:t>新疆</w:t>
      </w:r>
      <w:r>
        <w:rPr>
          <w:rFonts w:hint="eastAsia" w:ascii="仿宋_GB2312" w:eastAsia="仿宋_GB2312" w:hAnsiTheme="minorHAnsi" w:cstheme="minorBidi"/>
          <w:b w:val="0"/>
          <w:bCs w:val="0"/>
          <w:color w:val="auto"/>
          <w:spacing w:val="0"/>
          <w:kern w:val="2"/>
          <w:sz w:val="32"/>
          <w:szCs w:val="24"/>
          <w:highlight w:val="none"/>
          <w:lang w:eastAsia="zh-CN"/>
        </w:rPr>
        <w:t>公司所属单位</w:t>
      </w:r>
      <w:r>
        <w:rPr>
          <w:rFonts w:hint="eastAsia" w:ascii="仿宋_GB2312" w:eastAsia="仿宋_GB2312" w:hAnsiTheme="minorHAnsi" w:cstheme="minorBidi"/>
          <w:b w:val="0"/>
          <w:bCs w:val="0"/>
          <w:color w:val="auto"/>
          <w:spacing w:val="0"/>
          <w:kern w:val="2"/>
          <w:sz w:val="32"/>
          <w:szCs w:val="24"/>
          <w:highlight w:val="none"/>
        </w:rPr>
        <w:t>发生电煤采购业务</w:t>
      </w:r>
      <w:r>
        <w:rPr>
          <w:rFonts w:hint="eastAsia" w:ascii="仿宋_GB2312" w:eastAsia="仿宋_GB2312" w:cstheme="minorBidi"/>
          <w:b w:val="0"/>
          <w:bCs w:val="0"/>
          <w:color w:val="auto"/>
          <w:spacing w:val="0"/>
          <w:sz w:val="32"/>
          <w:szCs w:val="24"/>
          <w:highlight w:val="none"/>
          <w:lang w:val="en-US" w:eastAsia="zh-CN"/>
        </w:rPr>
        <w:t>。</w:t>
      </w:r>
      <w:r>
        <w:rPr>
          <w:rFonts w:hint="eastAsia" w:ascii="仿宋_GB2312" w:eastAsia="仿宋_GB2312" w:hAnsiTheme="minorHAnsi" w:cstheme="minorBidi"/>
          <w:b w:val="0"/>
          <w:bCs w:val="0"/>
          <w:color w:val="auto"/>
          <w:spacing w:val="0"/>
          <w:kern w:val="2"/>
          <w:sz w:val="32"/>
          <w:szCs w:val="24"/>
          <w:highlight w:val="none"/>
          <w:lang w:val="en-US" w:eastAsia="zh-CN"/>
        </w:rPr>
        <w:t>一个自然年度内累计发生2次的，</w:t>
      </w:r>
      <w:r>
        <w:rPr>
          <w:rFonts w:hint="eastAsia" w:ascii="仿宋_GB2312" w:eastAsia="仿宋_GB2312" w:hAnsiTheme="minorHAnsi" w:cstheme="minorBidi"/>
          <w:b w:val="0"/>
          <w:bCs w:val="0"/>
          <w:color w:val="auto"/>
          <w:spacing w:val="0"/>
          <w:kern w:val="2"/>
          <w:sz w:val="32"/>
          <w:szCs w:val="24"/>
          <w:highlight w:val="none"/>
        </w:rPr>
        <w:t>供应商永久退出</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列入黑名单管理，不予重新办理准入手续</w:t>
      </w:r>
      <w:r>
        <w:rPr>
          <w:rFonts w:hint="eastAsia" w:ascii="仿宋_GB2312" w:eastAsia="仿宋_GB2312"/>
          <w:color w:val="auto"/>
          <w:spacing w:val="0"/>
          <w:sz w:val="32"/>
          <w:highlight w:val="none"/>
          <w:lang w:val="en-US" w:eastAsia="zh-CN"/>
        </w:rPr>
        <w:t>。如在同一批次或同一时间段内，放弃二个及以上的中价资格时，竞价保证金只扣除一次。</w:t>
      </w:r>
    </w:p>
    <w:p w14:paraId="493DD862">
      <w:pPr>
        <w:tabs>
          <w:tab w:val="left" w:pos="1279"/>
        </w:tabs>
        <w:autoSpaceDE w:val="0"/>
        <w:autoSpaceDN w:val="0"/>
        <w:spacing w:line="560" w:lineRule="exact"/>
        <w:ind w:firstLine="640" w:firstLineChars="200"/>
        <w:rPr>
          <w:rFonts w:hint="eastAsia" w:ascii="仿宋_GB2312" w:eastAsia="仿宋_GB2312" w:hAnsiTheme="minorHAnsi" w:cstheme="minorBidi"/>
          <w:b w:val="0"/>
          <w:bCs w:val="0"/>
          <w:color w:val="auto"/>
          <w:spacing w:val="0"/>
          <w:sz w:val="32"/>
          <w:szCs w:val="24"/>
          <w:highlight w:val="none"/>
        </w:rPr>
      </w:pPr>
      <w:r>
        <w:rPr>
          <w:rFonts w:hint="eastAsia" w:ascii="仿宋_GB2312" w:eastAsia="仿宋_GB2312" w:cstheme="minorBidi"/>
          <w:b w:val="0"/>
          <w:bCs w:val="0"/>
          <w:color w:val="auto"/>
          <w:spacing w:val="0"/>
          <w:sz w:val="32"/>
          <w:szCs w:val="24"/>
          <w:highlight w:val="none"/>
          <w:lang w:val="en-US" w:eastAsia="zh-CN"/>
        </w:rPr>
        <w:t xml:space="preserve">3. </w:t>
      </w:r>
      <w:r>
        <w:rPr>
          <w:rFonts w:hint="eastAsia" w:ascii="仿宋_GB2312" w:eastAsia="仿宋_GB2312" w:hAnsiTheme="minorHAnsi" w:cstheme="minorBidi"/>
          <w:b w:val="0"/>
          <w:bCs w:val="0"/>
          <w:color w:val="auto"/>
          <w:spacing w:val="0"/>
          <w:sz w:val="32"/>
          <w:szCs w:val="24"/>
          <w:highlight w:val="none"/>
        </w:rPr>
        <w:t>供应商发生扣除保证金行为时，将向供应商发出扣除保证金的通知，经供应商确认后扣除保证金，供应商未在通知期限内确认的，在通知期限届满之日扣除保证金。</w:t>
      </w:r>
    </w:p>
    <w:p w14:paraId="18853E39">
      <w:pPr>
        <w:keepNext w:val="0"/>
        <w:keepLines w:val="0"/>
        <w:pageBreakBefore w:val="0"/>
        <w:widowControl w:val="0"/>
        <w:kinsoku/>
        <w:wordWrap/>
        <w:overflowPunct/>
        <w:topLinePunct w:val="0"/>
        <w:autoSpaceDE w:val="0"/>
        <w:autoSpaceDN w:val="0"/>
        <w:bidi w:val="0"/>
        <w:adjustRightInd/>
        <w:snapToGrid/>
        <w:spacing w:line="560" w:lineRule="exact"/>
        <w:ind w:firstLine="640" w:firstLineChars="200"/>
        <w:textAlignment w:val="auto"/>
        <w:rPr>
          <w:rFonts w:ascii="仿宋_GB2312" w:eastAsia="仿宋_GB2312"/>
          <w:color w:val="auto"/>
          <w:spacing w:val="0"/>
          <w:sz w:val="32"/>
          <w:highlight w:val="none"/>
        </w:rPr>
      </w:pPr>
      <w:r>
        <w:rPr>
          <w:rFonts w:hint="eastAsia" w:ascii="仿宋_GB2312" w:eastAsia="仿宋_GB2312" w:hAnsiTheme="minorHAnsi" w:cstheme="minorBidi"/>
          <w:b w:val="0"/>
          <w:bCs w:val="0"/>
          <w:color w:val="auto"/>
          <w:spacing w:val="0"/>
          <w:sz w:val="32"/>
          <w:szCs w:val="24"/>
          <w:highlight w:val="none"/>
          <w:lang w:val="en-US" w:eastAsia="zh-CN"/>
        </w:rPr>
        <w:t>4.</w:t>
      </w:r>
      <w:r>
        <w:rPr>
          <w:rFonts w:hint="eastAsia" w:ascii="仿宋_GB2312" w:eastAsia="仿宋_GB2312" w:cstheme="minorBidi"/>
          <w:b w:val="0"/>
          <w:bCs w:val="0"/>
          <w:color w:val="auto"/>
          <w:spacing w:val="0"/>
          <w:sz w:val="32"/>
          <w:szCs w:val="24"/>
          <w:highlight w:val="none"/>
          <w:lang w:val="en-US" w:eastAsia="zh-CN"/>
        </w:rPr>
        <w:t xml:space="preserve"> </w:t>
      </w:r>
      <w:r>
        <w:rPr>
          <w:rFonts w:hint="eastAsia" w:ascii="仿宋_GB2312" w:eastAsia="仿宋_GB2312"/>
          <w:color w:val="auto"/>
          <w:spacing w:val="0"/>
          <w:sz w:val="32"/>
          <w:highlight w:val="none"/>
          <w:lang w:val="en-US" w:eastAsia="zh-CN"/>
        </w:rPr>
        <w:t>竞价结束后，</w:t>
      </w:r>
      <w:r>
        <w:rPr>
          <w:rFonts w:hint="eastAsia" w:ascii="仿宋_GB2312" w:eastAsia="仿宋_GB2312"/>
          <w:color w:val="auto"/>
          <w:spacing w:val="0"/>
          <w:sz w:val="32"/>
          <w:highlight w:val="none"/>
        </w:rPr>
        <w:t>竞价保证金自动转为参加下一次竞价的竞价保证金</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决定不再参加后续竞价的供应商，可</w:t>
      </w:r>
      <w:r>
        <w:rPr>
          <w:rFonts w:hint="eastAsia" w:ascii="仿宋_GB2312" w:eastAsia="仿宋_GB2312"/>
          <w:color w:val="auto"/>
          <w:spacing w:val="0"/>
          <w:sz w:val="32"/>
          <w:highlight w:val="none"/>
          <w:lang w:val="en-US" w:eastAsia="zh-CN"/>
        </w:rPr>
        <w:t>向</w:t>
      </w:r>
      <w:r>
        <w:rPr>
          <w:rFonts w:hint="eastAsia" w:ascii="仿宋_GB2312" w:eastAsia="仿宋_GB2312" w:hAnsiTheme="minorHAnsi" w:cstheme="minorBidi"/>
          <w:b w:val="0"/>
          <w:color w:val="auto"/>
          <w:spacing w:val="0"/>
          <w:sz w:val="32"/>
          <w:szCs w:val="24"/>
          <w:highlight w:val="none"/>
        </w:rPr>
        <w:t>煤业物资公司</w:t>
      </w:r>
      <w:r>
        <w:rPr>
          <w:rFonts w:hint="eastAsia" w:ascii="仿宋_GB2312" w:eastAsia="仿宋_GB2312"/>
          <w:color w:val="auto"/>
          <w:spacing w:val="0"/>
          <w:sz w:val="32"/>
          <w:highlight w:val="none"/>
        </w:rPr>
        <w:t>书面</w:t>
      </w:r>
      <w:r>
        <w:rPr>
          <w:rFonts w:hint="default" w:ascii="仿宋_GB2312" w:eastAsia="仿宋_GB2312"/>
          <w:color w:val="auto"/>
          <w:spacing w:val="0"/>
          <w:sz w:val="32"/>
          <w:highlight w:val="none"/>
          <w:lang w:val="en-US"/>
        </w:rPr>
        <w:t>申请办理</w:t>
      </w:r>
      <w:r>
        <w:rPr>
          <w:rFonts w:hint="eastAsia" w:ascii="仿宋_GB2312" w:eastAsia="仿宋_GB2312"/>
          <w:color w:val="auto"/>
          <w:spacing w:val="0"/>
          <w:sz w:val="32"/>
          <w:highlight w:val="none"/>
          <w:lang w:val="en-US" w:eastAsia="zh-CN"/>
        </w:rPr>
        <w:t>竞价</w:t>
      </w:r>
      <w:r>
        <w:rPr>
          <w:rFonts w:hint="default" w:ascii="仿宋_GB2312" w:eastAsia="仿宋_GB2312"/>
          <w:color w:val="auto"/>
          <w:spacing w:val="0"/>
          <w:sz w:val="32"/>
          <w:highlight w:val="none"/>
          <w:lang w:val="en-US"/>
        </w:rPr>
        <w:t>保证金无息退还</w:t>
      </w:r>
      <w:r>
        <w:rPr>
          <w:rFonts w:hint="eastAsia" w:ascii="仿宋_GB2312" w:eastAsia="仿宋_GB2312"/>
          <w:color w:val="auto"/>
          <w:spacing w:val="0"/>
          <w:sz w:val="32"/>
          <w:highlight w:val="none"/>
        </w:rPr>
        <w:t>。</w:t>
      </w:r>
    </w:p>
    <w:p w14:paraId="752E0097">
      <w:pPr>
        <w:keepNext w:val="0"/>
        <w:keepLines w:val="0"/>
        <w:pageBreakBefore w:val="0"/>
        <w:widowControl w:val="0"/>
        <w:kinsoku/>
        <w:wordWrap/>
        <w:overflowPunct/>
        <w:topLinePunct w:val="0"/>
        <w:autoSpaceDE w:val="0"/>
        <w:autoSpaceDN w:val="0"/>
        <w:bidi w:val="0"/>
        <w:adjustRightInd/>
        <w:snapToGrid/>
        <w:spacing w:line="560" w:lineRule="exact"/>
        <w:ind w:firstLine="643" w:firstLineChars="200"/>
        <w:jc w:val="left"/>
        <w:textAlignment w:val="auto"/>
        <w:rPr>
          <w:rFonts w:hint="eastAsia" w:ascii="仿宋_GB2312" w:eastAsia="仿宋_GB2312" w:hAnsiTheme="minorHAnsi"/>
          <w:b/>
          <w:bCs/>
          <w:color w:val="auto"/>
          <w:spacing w:val="0"/>
          <w:sz w:val="32"/>
          <w:highlight w:val="none"/>
          <w:lang w:val="en-US" w:eastAsia="zh-CN"/>
        </w:rPr>
      </w:pPr>
      <w:r>
        <w:rPr>
          <w:rFonts w:hint="eastAsia" w:ascii="仿宋_GB2312" w:eastAsia="仿宋_GB2312" w:hAnsiTheme="minorHAnsi"/>
          <w:b/>
          <w:bCs/>
          <w:color w:val="auto"/>
          <w:spacing w:val="0"/>
          <w:sz w:val="32"/>
          <w:highlight w:val="none"/>
          <w:lang w:val="en-US" w:eastAsia="zh-CN"/>
        </w:rPr>
        <w:t>（二）履约保证金</w:t>
      </w:r>
    </w:p>
    <w:p w14:paraId="3C64C795">
      <w:pPr>
        <w:keepNext w:val="0"/>
        <w:keepLines w:val="0"/>
        <w:pageBreakBefore w:val="0"/>
        <w:widowControl w:val="0"/>
        <w:shd w:val="clear" w:fill="auto"/>
        <w:kinsoku/>
        <w:wordWrap/>
        <w:overflowPunct/>
        <w:topLinePunct w:val="0"/>
        <w:autoSpaceDE w:val="0"/>
        <w:autoSpaceDN w:val="0"/>
        <w:bidi w:val="0"/>
        <w:adjustRightInd/>
        <w:snapToGrid/>
        <w:spacing w:beforeLines="-2147483648" w:afterLines="-2147483648" w:line="560" w:lineRule="exact"/>
        <w:ind w:left="0" w:leftChars="0" w:firstLine="640" w:firstLineChars="200"/>
        <w:jc w:val="left"/>
        <w:textAlignment w:val="auto"/>
        <w:rPr>
          <w:rFonts w:hint="eastAsia" w:ascii="仿宋_GB2312" w:eastAsia="仿宋_GB2312" w:hAnsiTheme="minorHAnsi" w:cstheme="minorBidi"/>
          <w:b w:val="0"/>
          <w:color w:val="auto"/>
          <w:spacing w:val="0"/>
          <w:sz w:val="32"/>
          <w:szCs w:val="24"/>
          <w:highlight w:val="none"/>
        </w:rPr>
      </w:pPr>
      <w:r>
        <w:rPr>
          <w:rFonts w:hint="eastAsia" w:ascii="仿宋_GB2312" w:eastAsia="仿宋_GB2312" w:hAnsiTheme="minorHAnsi" w:cstheme="minorBidi"/>
          <w:b w:val="0"/>
          <w:color w:val="auto"/>
          <w:spacing w:val="0"/>
          <w:sz w:val="32"/>
          <w:szCs w:val="24"/>
          <w:highlight w:val="none"/>
        </w:rPr>
        <w:t>本合同签订前须缴纳履约保证金</w:t>
      </w:r>
      <w:r>
        <w:rPr>
          <w:rFonts w:hint="eastAsia" w:ascii="仿宋_GB2312" w:eastAsia="仿宋_GB2312" w:cstheme="minorBidi"/>
          <w:b w:val="0"/>
          <w:color w:val="auto"/>
          <w:spacing w:val="0"/>
          <w:sz w:val="32"/>
          <w:szCs w:val="24"/>
          <w:highlight w:val="none"/>
          <w:u w:val="none"/>
          <w:lang w:val="en-US" w:eastAsia="zh-CN"/>
        </w:rPr>
        <w:t>15</w:t>
      </w:r>
      <w:r>
        <w:rPr>
          <w:rFonts w:hint="eastAsia" w:ascii="仿宋_GB2312" w:eastAsia="仿宋_GB2312" w:hAnsiTheme="minorHAnsi" w:cstheme="minorBidi"/>
          <w:b w:val="0"/>
          <w:color w:val="auto"/>
          <w:spacing w:val="0"/>
          <w:sz w:val="32"/>
          <w:szCs w:val="24"/>
          <w:highlight w:val="none"/>
        </w:rPr>
        <w:t>万元，由</w:t>
      </w:r>
      <w:r>
        <w:rPr>
          <w:rFonts w:hint="eastAsia" w:ascii="仿宋_GB2312" w:eastAsia="仿宋_GB2312" w:hAnsiTheme="minorHAnsi" w:cstheme="minorBidi"/>
          <w:b w:val="0"/>
          <w:color w:val="auto"/>
          <w:spacing w:val="0"/>
          <w:sz w:val="32"/>
          <w:szCs w:val="24"/>
          <w:highlight w:val="none"/>
          <w:lang w:val="en-US" w:eastAsia="zh-CN"/>
        </w:rPr>
        <w:t>中价供应商</w:t>
      </w:r>
      <w:r>
        <w:rPr>
          <w:rFonts w:hint="eastAsia" w:ascii="仿宋_GB2312" w:eastAsia="仿宋_GB2312" w:hAnsiTheme="minorHAnsi" w:cstheme="minorBidi"/>
          <w:b w:val="0"/>
          <w:color w:val="auto"/>
          <w:spacing w:val="0"/>
          <w:sz w:val="32"/>
          <w:szCs w:val="24"/>
          <w:highlight w:val="none"/>
        </w:rPr>
        <w:t>交至</w:t>
      </w:r>
      <w:r>
        <w:rPr>
          <w:rFonts w:hint="eastAsia" w:ascii="仿宋_GB2312" w:eastAsia="仿宋_GB2312" w:cstheme="minorBidi"/>
          <w:b w:val="0"/>
          <w:color w:val="auto"/>
          <w:spacing w:val="0"/>
          <w:sz w:val="32"/>
          <w:szCs w:val="24"/>
          <w:highlight w:val="none"/>
          <w:u w:val="single"/>
          <w:lang w:val="en-US" w:eastAsia="zh-CN"/>
        </w:rPr>
        <w:t>煤业物资</w:t>
      </w:r>
      <w:r>
        <w:rPr>
          <w:rFonts w:hint="eastAsia" w:ascii="仿宋_GB2312" w:eastAsia="仿宋_GB2312" w:hAnsiTheme="minorHAnsi" w:cstheme="minorBidi"/>
          <w:b w:val="0"/>
          <w:color w:val="auto"/>
          <w:spacing w:val="0"/>
          <w:sz w:val="32"/>
          <w:szCs w:val="24"/>
          <w:highlight w:val="none"/>
        </w:rPr>
        <w:t>公司。当履约率不达标时，</w:t>
      </w:r>
      <w:r>
        <w:rPr>
          <w:rFonts w:hint="eastAsia" w:ascii="仿宋_GB2312" w:eastAsia="仿宋_GB2312" w:cstheme="minorBidi"/>
          <w:b w:val="0"/>
          <w:color w:val="auto"/>
          <w:spacing w:val="0"/>
          <w:sz w:val="32"/>
          <w:szCs w:val="24"/>
          <w:highlight w:val="none"/>
          <w:u w:val="single"/>
          <w:lang w:val="en-US" w:eastAsia="zh-CN"/>
        </w:rPr>
        <w:t>煤业物资</w:t>
      </w:r>
      <w:r>
        <w:rPr>
          <w:rFonts w:hint="eastAsia" w:ascii="仿宋_GB2312" w:eastAsia="仿宋_GB2312" w:hAnsiTheme="minorHAnsi" w:cstheme="minorBidi"/>
          <w:b w:val="0"/>
          <w:color w:val="auto"/>
          <w:spacing w:val="0"/>
          <w:sz w:val="32"/>
          <w:szCs w:val="24"/>
          <w:highlight w:val="none"/>
          <w:lang w:val="en-US" w:eastAsia="zh-CN"/>
        </w:rPr>
        <w:t>公司</w:t>
      </w:r>
      <w:r>
        <w:rPr>
          <w:rFonts w:hint="eastAsia" w:ascii="仿宋_GB2312" w:eastAsia="仿宋_GB2312" w:hAnsiTheme="minorHAnsi" w:cstheme="minorBidi"/>
          <w:b w:val="0"/>
          <w:color w:val="auto"/>
          <w:spacing w:val="0"/>
          <w:sz w:val="32"/>
          <w:szCs w:val="24"/>
          <w:highlight w:val="none"/>
        </w:rPr>
        <w:t>按照合同约定扣除</w:t>
      </w:r>
      <w:r>
        <w:rPr>
          <w:rFonts w:hint="eastAsia" w:ascii="仿宋_GB2312" w:eastAsia="仿宋_GB2312" w:hAnsiTheme="minorHAnsi" w:cstheme="minorBidi"/>
          <w:b w:val="0"/>
          <w:color w:val="auto"/>
          <w:spacing w:val="0"/>
          <w:sz w:val="32"/>
          <w:szCs w:val="24"/>
          <w:highlight w:val="none"/>
          <w:lang w:val="en-US" w:eastAsia="zh-CN"/>
        </w:rPr>
        <w:t>中价供应商</w:t>
      </w:r>
      <w:r>
        <w:rPr>
          <w:rFonts w:hint="eastAsia" w:ascii="仿宋_GB2312" w:eastAsia="仿宋_GB2312" w:hAnsiTheme="minorHAnsi" w:cstheme="minorBidi"/>
          <w:b w:val="0"/>
          <w:color w:val="auto"/>
          <w:spacing w:val="0"/>
          <w:sz w:val="32"/>
          <w:szCs w:val="24"/>
          <w:highlight w:val="none"/>
        </w:rPr>
        <w:t>履约保证金。</w:t>
      </w:r>
    </w:p>
    <w:p w14:paraId="5A065ED3">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eastAsia="zh-CN"/>
        </w:rPr>
        <w:t>九、</w:t>
      </w:r>
      <w:r>
        <w:rPr>
          <w:rFonts w:hint="eastAsia" w:ascii="黑体" w:hAnsi="黑体" w:eastAsia="黑体"/>
          <w:b/>
          <w:bCs/>
          <w:color w:val="auto"/>
          <w:spacing w:val="0"/>
          <w:sz w:val="32"/>
          <w:highlight w:val="none"/>
          <w:lang w:val="en-US"/>
        </w:rPr>
        <w:t>合同要求</w:t>
      </w:r>
    </w:p>
    <w:p w14:paraId="2E90FD26">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hAnsi="仿宋_GB2312" w:eastAsia="仿宋_GB2312" w:cs="仿宋_GB2312"/>
          <w:b w:val="0"/>
          <w:bCs w:val="0"/>
          <w:color w:val="auto"/>
          <w:spacing w:val="0"/>
          <w:sz w:val="32"/>
          <w:highlight w:val="none"/>
          <w:lang w:eastAsia="zh-CN"/>
        </w:rPr>
      </w:pPr>
      <w:r>
        <w:rPr>
          <w:rFonts w:hint="eastAsia" w:ascii="仿宋_GB2312" w:hAnsi="仿宋_GB2312" w:eastAsia="仿宋_GB2312" w:cs="仿宋_GB2312"/>
          <w:bCs/>
          <w:spacing w:val="0"/>
          <w:sz w:val="32"/>
          <w:szCs w:val="32"/>
          <w:lang w:val="en-US" w:eastAsia="zh-CN"/>
        </w:rPr>
        <w:t>（一）</w:t>
      </w:r>
      <w:r>
        <w:rPr>
          <w:rFonts w:hint="eastAsia" w:ascii="仿宋_GB2312" w:hAnsi="仿宋_GB2312" w:eastAsia="仿宋_GB2312" w:cs="仿宋_GB2312"/>
          <w:bCs/>
          <w:spacing w:val="0"/>
          <w:sz w:val="32"/>
          <w:szCs w:val="32"/>
        </w:rPr>
        <w:t>供应商在接到中价通知后，</w:t>
      </w:r>
      <w:r>
        <w:rPr>
          <w:rFonts w:hint="eastAsia" w:ascii="仿宋_GB2312" w:hAnsi="仿宋_GB2312" w:eastAsia="仿宋_GB2312" w:cs="仿宋_GB2312"/>
          <w:color w:val="auto"/>
          <w:spacing w:val="0"/>
          <w:sz w:val="32"/>
          <w:highlight w:val="none"/>
        </w:rPr>
        <w:t>应在3日内</w:t>
      </w:r>
      <w:r>
        <w:rPr>
          <w:rFonts w:hint="eastAsia" w:ascii="仿宋_GB2312" w:hAnsi="仿宋_GB2312" w:eastAsia="仿宋_GB2312" w:cs="仿宋_GB2312"/>
          <w:bCs/>
          <w:spacing w:val="0"/>
          <w:sz w:val="32"/>
          <w:szCs w:val="32"/>
        </w:rPr>
        <w:t>缴纳履约保证金，</w:t>
      </w:r>
      <w:r>
        <w:rPr>
          <w:rFonts w:hint="eastAsia" w:ascii="仿宋_GB2312" w:hAnsi="仿宋_GB2312" w:eastAsia="仿宋_GB2312" w:cs="仿宋_GB2312"/>
          <w:bCs/>
          <w:spacing w:val="0"/>
          <w:sz w:val="32"/>
          <w:szCs w:val="32"/>
          <w:lang w:val="en-US" w:eastAsia="zh-CN"/>
        </w:rPr>
        <w:t>并</w:t>
      </w:r>
      <w:r>
        <w:rPr>
          <w:rFonts w:hint="eastAsia" w:ascii="仿宋_GB2312" w:hAnsi="仿宋_GB2312" w:eastAsia="仿宋_GB2312" w:cs="仿宋_GB2312"/>
          <w:color w:val="auto"/>
          <w:spacing w:val="0"/>
          <w:sz w:val="32"/>
          <w:highlight w:val="none"/>
        </w:rPr>
        <w:t>派法定代表人或授权代表到指定地点</w:t>
      </w:r>
      <w:r>
        <w:rPr>
          <w:rFonts w:hint="eastAsia" w:ascii="仿宋_GB2312" w:hAnsi="仿宋_GB2312" w:eastAsia="仿宋_GB2312" w:cs="仿宋_GB2312"/>
          <w:color w:val="auto"/>
          <w:spacing w:val="0"/>
          <w:sz w:val="32"/>
          <w:highlight w:val="none"/>
          <w:lang w:eastAsia="zh-CN"/>
        </w:rPr>
        <w:t>，</w:t>
      </w:r>
      <w:r>
        <w:rPr>
          <w:rFonts w:hint="eastAsia" w:ascii="仿宋_GB2312" w:hAnsi="仿宋_GB2312" w:eastAsia="仿宋_GB2312" w:cs="仿宋_GB2312"/>
          <w:color w:val="auto"/>
          <w:spacing w:val="0"/>
          <w:sz w:val="32"/>
          <w:highlight w:val="none"/>
          <w:lang w:val="en-US" w:eastAsia="zh-CN"/>
        </w:rPr>
        <w:t>按照公告合同范本，</w:t>
      </w:r>
      <w:r>
        <w:rPr>
          <w:rFonts w:hint="eastAsia" w:ascii="仿宋_GB2312" w:hAnsi="仿宋_GB2312" w:eastAsia="仿宋_GB2312" w:cs="仿宋_GB2312"/>
          <w:bCs/>
          <w:spacing w:val="0"/>
          <w:sz w:val="32"/>
          <w:szCs w:val="32"/>
          <w:lang w:val="en-US" w:eastAsia="zh-CN"/>
        </w:rPr>
        <w:t>与</w:t>
      </w:r>
      <w:r>
        <w:rPr>
          <w:rFonts w:hint="eastAsia" w:ascii="仿宋_GB2312" w:eastAsia="仿宋_GB2312" w:cstheme="minorBidi"/>
          <w:b w:val="0"/>
          <w:color w:val="auto"/>
          <w:spacing w:val="0"/>
          <w:sz w:val="32"/>
          <w:szCs w:val="24"/>
          <w:highlight w:val="none"/>
          <w:u w:val="single"/>
          <w:lang w:val="en-US" w:eastAsia="zh-CN"/>
        </w:rPr>
        <w:t>煤业物资</w:t>
      </w:r>
      <w:r>
        <w:rPr>
          <w:rFonts w:hint="eastAsia" w:ascii="仿宋_GB2312" w:hAnsi="仿宋_GB2312" w:eastAsia="仿宋_GB2312" w:cs="仿宋_GB2312"/>
          <w:bCs/>
          <w:spacing w:val="0"/>
          <w:sz w:val="32"/>
          <w:szCs w:val="32"/>
        </w:rPr>
        <w:t>公司签订</w:t>
      </w:r>
      <w:r>
        <w:rPr>
          <w:rFonts w:hint="eastAsia" w:ascii="仿宋_GB2312" w:hAnsi="仿宋_GB2312" w:eastAsia="仿宋_GB2312"/>
          <w:bCs/>
          <w:color w:val="auto"/>
          <w:spacing w:val="0"/>
          <w:sz w:val="32"/>
          <w:szCs w:val="32"/>
          <w:highlight w:val="none"/>
        </w:rPr>
        <w:t>煤炭运输合同</w:t>
      </w:r>
      <w:r>
        <w:rPr>
          <w:rFonts w:hint="eastAsia" w:ascii="仿宋_GB2312" w:hAnsi="仿宋_GB2312" w:eastAsia="仿宋_GB2312"/>
          <w:bCs/>
          <w:color w:val="auto"/>
          <w:spacing w:val="0"/>
          <w:sz w:val="32"/>
          <w:szCs w:val="32"/>
          <w:highlight w:val="none"/>
          <w:lang w:eastAsia="zh-CN"/>
        </w:rPr>
        <w:t>、</w:t>
      </w:r>
      <w:r>
        <w:rPr>
          <w:rFonts w:hint="eastAsia" w:ascii="仿宋_GB2312" w:hAnsi="仿宋_GB2312" w:eastAsia="仿宋_GB2312"/>
          <w:bCs/>
          <w:color w:val="auto"/>
          <w:spacing w:val="0"/>
          <w:sz w:val="32"/>
          <w:szCs w:val="32"/>
          <w:highlight w:val="none"/>
          <w:lang w:val="en-US" w:eastAsia="zh-CN"/>
        </w:rPr>
        <w:t>安全协议、廉洁承诺书</w:t>
      </w:r>
      <w:r>
        <w:rPr>
          <w:rFonts w:hint="eastAsia" w:ascii="仿宋_GB2312" w:hAnsi="仿宋_GB2312" w:eastAsia="仿宋_GB2312"/>
          <w:bCs/>
          <w:color w:val="auto"/>
          <w:spacing w:val="0"/>
          <w:sz w:val="32"/>
          <w:szCs w:val="32"/>
          <w:highlight w:val="none"/>
        </w:rPr>
        <w:t>。</w:t>
      </w:r>
    </w:p>
    <w:p w14:paraId="5A67603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_GB2312" w:eastAsia="仿宋_GB2312"/>
          <w:color w:val="auto"/>
          <w:spacing w:val="0"/>
          <w:sz w:val="32"/>
          <w:highlight w:val="none"/>
        </w:rPr>
      </w:pPr>
      <w:r>
        <w:rPr>
          <w:rFonts w:hint="eastAsia" w:ascii="仿宋_GB2312" w:hAnsi="仿宋_GB2312" w:eastAsia="仿宋_GB2312" w:cs="仿宋_GB2312"/>
          <w:b w:val="0"/>
          <w:bCs w:val="0"/>
          <w:color w:val="auto"/>
          <w:spacing w:val="0"/>
          <w:sz w:val="32"/>
          <w:highlight w:val="none"/>
          <w:lang w:eastAsia="zh-CN"/>
        </w:rPr>
        <w:t>（</w:t>
      </w:r>
      <w:r>
        <w:rPr>
          <w:rFonts w:hint="eastAsia" w:ascii="仿宋_GB2312" w:hAnsi="仿宋_GB2312" w:eastAsia="仿宋_GB2312" w:cs="仿宋_GB2312"/>
          <w:b w:val="0"/>
          <w:bCs w:val="0"/>
          <w:color w:val="auto"/>
          <w:spacing w:val="0"/>
          <w:sz w:val="32"/>
          <w:highlight w:val="none"/>
          <w:lang w:val="en-US" w:eastAsia="zh-CN"/>
        </w:rPr>
        <w:t>二</w:t>
      </w:r>
      <w:r>
        <w:rPr>
          <w:rFonts w:hint="eastAsia" w:ascii="仿宋_GB2312" w:hAnsi="仿宋_GB2312" w:eastAsia="仿宋_GB2312" w:cs="仿宋_GB2312"/>
          <w:b w:val="0"/>
          <w:bCs w:val="0"/>
          <w:color w:val="auto"/>
          <w:spacing w:val="0"/>
          <w:sz w:val="32"/>
          <w:highlight w:val="none"/>
          <w:lang w:eastAsia="zh-CN"/>
        </w:rPr>
        <w:t>）</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供应商签订合同时，需提供加盖公章的营业执照</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开户许可证</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lang w:val="en-US" w:eastAsia="zh-CN"/>
        </w:rPr>
        <w:t>运输许可证、法定代表人</w:t>
      </w:r>
      <w:r>
        <w:rPr>
          <w:rFonts w:hint="eastAsia" w:ascii="仿宋_GB2312" w:eastAsia="仿宋_GB2312"/>
          <w:color w:val="auto"/>
          <w:spacing w:val="0"/>
          <w:sz w:val="32"/>
          <w:highlight w:val="none"/>
        </w:rPr>
        <w:t>身份证或有效的法人授权委托书</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被授权人的身份证复印件</w:t>
      </w:r>
      <w:r>
        <w:rPr>
          <w:rFonts w:hint="eastAsia" w:ascii="仿宋_GB2312" w:eastAsia="仿宋_GB2312"/>
          <w:color w:val="auto"/>
          <w:spacing w:val="0"/>
          <w:sz w:val="32"/>
          <w:highlight w:val="none"/>
          <w:lang w:val="en-US" w:eastAsia="zh-CN"/>
        </w:rPr>
        <w:t>等资质材料</w:t>
      </w:r>
      <w:r>
        <w:rPr>
          <w:rFonts w:hint="eastAsia" w:ascii="仿宋_GB2312" w:eastAsia="仿宋_GB2312"/>
          <w:color w:val="auto"/>
          <w:spacing w:val="0"/>
          <w:sz w:val="32"/>
          <w:highlight w:val="none"/>
        </w:rPr>
        <w:t>。</w:t>
      </w:r>
    </w:p>
    <w:p w14:paraId="67BC22BA">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left="0" w:leftChars="0" w:right="0" w:rightChars="0" w:firstLine="640" w:firstLineChars="200"/>
        <w:jc w:val="both"/>
        <w:textAlignment w:val="auto"/>
        <w:outlineLvl w:val="9"/>
        <w:rPr>
          <w:rFonts w:hint="eastAsia" w:ascii="仿宋_GB2312" w:hAnsi="仿宋_GB2312" w:eastAsia="仿宋_GB2312" w:cs="仿宋_GB2312"/>
          <w:color w:val="auto"/>
          <w:spacing w:val="0"/>
          <w:sz w:val="32"/>
          <w:highlight w:val="none"/>
        </w:rPr>
      </w:pPr>
      <w:r>
        <w:rPr>
          <w:rFonts w:hint="eastAsia" w:ascii="仿宋_GB2312" w:hAnsi="仿宋_GB2312" w:eastAsia="仿宋_GB2312" w:cs="仿宋_GB2312"/>
          <w:bCs/>
          <w:spacing w:val="0"/>
          <w:sz w:val="32"/>
          <w:szCs w:val="32"/>
          <w:highlight w:val="none"/>
          <w:lang w:val="en-US" w:eastAsia="zh-CN"/>
        </w:rPr>
        <w:t>（三）</w:t>
      </w:r>
      <w:r>
        <w:rPr>
          <w:rFonts w:hint="eastAsia" w:ascii="仿宋_GB2312" w:hAnsi="仿宋_GB2312" w:eastAsia="仿宋_GB2312" w:cs="仿宋_GB2312"/>
          <w:bCs/>
          <w:spacing w:val="0"/>
          <w:sz w:val="32"/>
          <w:szCs w:val="32"/>
          <w:highlight w:val="none"/>
        </w:rPr>
        <w:t>如供应商未按中价通知要求</w:t>
      </w:r>
      <w:r>
        <w:rPr>
          <w:rFonts w:hint="eastAsia" w:ascii="仿宋_GB2312" w:hAnsi="仿宋_GB2312" w:eastAsia="仿宋_GB2312" w:cs="仿宋_GB2312"/>
          <w:color w:val="auto"/>
          <w:spacing w:val="0"/>
          <w:sz w:val="32"/>
          <w:highlight w:val="none"/>
        </w:rPr>
        <w:t>在规定的时间</w:t>
      </w:r>
      <w:r>
        <w:rPr>
          <w:rFonts w:hint="eastAsia" w:ascii="仿宋_GB2312" w:hAnsi="仿宋_GB2312" w:eastAsia="仿宋_GB2312" w:cs="仿宋_GB2312"/>
          <w:bCs/>
          <w:spacing w:val="0"/>
          <w:sz w:val="32"/>
          <w:szCs w:val="32"/>
          <w:highlight w:val="none"/>
        </w:rPr>
        <w:t>签订煤炭</w:t>
      </w:r>
      <w:r>
        <w:rPr>
          <w:rFonts w:hint="eastAsia" w:ascii="仿宋_GB2312" w:hAnsi="仿宋_GB2312" w:eastAsia="仿宋_GB2312" w:cs="仿宋_GB2312"/>
          <w:bCs/>
          <w:spacing w:val="0"/>
          <w:sz w:val="32"/>
          <w:szCs w:val="32"/>
          <w:highlight w:val="none"/>
          <w:lang w:val="en-US" w:eastAsia="zh-CN"/>
        </w:rPr>
        <w:t>运输</w:t>
      </w:r>
      <w:r>
        <w:rPr>
          <w:rFonts w:hint="eastAsia" w:ascii="仿宋_GB2312" w:hAnsi="仿宋_GB2312" w:eastAsia="仿宋_GB2312" w:cs="仿宋_GB2312"/>
          <w:bCs/>
          <w:spacing w:val="0"/>
          <w:sz w:val="32"/>
          <w:szCs w:val="32"/>
          <w:highlight w:val="none"/>
        </w:rPr>
        <w:t>合同</w:t>
      </w:r>
      <w:r>
        <w:rPr>
          <w:rFonts w:hint="eastAsia" w:ascii="仿宋_GB2312" w:hAnsi="仿宋_GB2312" w:eastAsia="仿宋_GB2312"/>
          <w:bCs/>
          <w:color w:val="auto"/>
          <w:spacing w:val="0"/>
          <w:sz w:val="32"/>
          <w:szCs w:val="32"/>
          <w:highlight w:val="none"/>
          <w:lang w:eastAsia="zh-CN"/>
        </w:rPr>
        <w:t>、</w:t>
      </w:r>
      <w:r>
        <w:rPr>
          <w:rFonts w:hint="eastAsia" w:ascii="仿宋_GB2312" w:hAnsi="仿宋_GB2312" w:eastAsia="仿宋_GB2312"/>
          <w:bCs/>
          <w:color w:val="auto"/>
          <w:spacing w:val="0"/>
          <w:sz w:val="32"/>
          <w:szCs w:val="32"/>
          <w:highlight w:val="none"/>
          <w:lang w:val="en-US" w:eastAsia="zh-CN"/>
        </w:rPr>
        <w:t>安全协议、廉洁承诺书</w:t>
      </w:r>
      <w:r>
        <w:rPr>
          <w:rFonts w:hint="eastAsia" w:ascii="仿宋_GB2312" w:hAnsi="仿宋_GB2312" w:eastAsia="仿宋_GB2312" w:cs="仿宋_GB2312"/>
          <w:bCs/>
          <w:spacing w:val="0"/>
          <w:sz w:val="32"/>
          <w:szCs w:val="32"/>
          <w:highlight w:val="none"/>
        </w:rPr>
        <w:t>，</w:t>
      </w:r>
      <w:r>
        <w:rPr>
          <w:rFonts w:hint="eastAsia" w:ascii="仿宋_GB2312" w:eastAsia="仿宋_GB2312" w:cstheme="minorBidi"/>
          <w:b w:val="0"/>
          <w:color w:val="auto"/>
          <w:spacing w:val="0"/>
          <w:sz w:val="32"/>
          <w:szCs w:val="24"/>
          <w:highlight w:val="none"/>
          <w:u w:val="single"/>
          <w:lang w:val="en-US" w:eastAsia="zh-CN"/>
        </w:rPr>
        <w:t>煤业物资</w:t>
      </w:r>
      <w:r>
        <w:rPr>
          <w:rFonts w:hint="eastAsia" w:ascii="仿宋_GB2312" w:hAnsi="仿宋_GB2312" w:eastAsia="仿宋_GB2312" w:cs="仿宋_GB2312"/>
          <w:bCs/>
          <w:spacing w:val="0"/>
          <w:sz w:val="32"/>
          <w:szCs w:val="32"/>
          <w:highlight w:val="none"/>
        </w:rPr>
        <w:t>公司有权取消中价供应商资格，</w:t>
      </w:r>
      <w:r>
        <w:rPr>
          <w:rFonts w:hint="eastAsia" w:ascii="仿宋_GB2312" w:hAnsi="仿宋_GB2312" w:eastAsia="仿宋_GB2312" w:cs="仿宋_GB2312"/>
          <w:b w:val="0"/>
          <w:bCs w:val="0"/>
          <w:color w:val="auto"/>
          <w:spacing w:val="0"/>
          <w:sz w:val="32"/>
          <w:highlight w:val="none"/>
          <w:lang w:eastAsia="zh-CN"/>
        </w:rPr>
        <w:t>且</w:t>
      </w:r>
      <w:r>
        <w:rPr>
          <w:rFonts w:hint="eastAsia" w:ascii="仿宋_GB2312" w:hAnsi="仿宋" w:eastAsia="仿宋_GB2312" w:cs="仿宋"/>
          <w:b w:val="0"/>
          <w:bCs w:val="0"/>
          <w:color w:val="auto"/>
          <w:spacing w:val="0"/>
          <w:kern w:val="56"/>
          <w:sz w:val="32"/>
          <w:szCs w:val="32"/>
          <w:highlight w:val="none"/>
        </w:rPr>
        <w:t>执行</w:t>
      </w:r>
      <w:r>
        <w:rPr>
          <w:rFonts w:hint="eastAsia" w:ascii="仿宋_GB2312" w:eastAsia="仿宋_GB2312" w:cs="仿宋"/>
          <w:b w:val="0"/>
          <w:bCs w:val="0"/>
          <w:color w:val="auto"/>
          <w:spacing w:val="0"/>
          <w:kern w:val="56"/>
          <w:sz w:val="32"/>
          <w:szCs w:val="32"/>
          <w:highlight w:val="none"/>
          <w:lang w:val="en-US" w:eastAsia="zh-CN"/>
        </w:rPr>
        <w:t>6</w:t>
      </w:r>
      <w:r>
        <w:rPr>
          <w:rFonts w:hint="eastAsia" w:ascii="仿宋_GB2312" w:hAnsi="仿宋" w:eastAsia="仿宋_GB2312" w:cs="仿宋"/>
          <w:b w:val="0"/>
          <w:bCs w:val="0"/>
          <w:color w:val="auto"/>
          <w:spacing w:val="0"/>
          <w:kern w:val="56"/>
          <w:sz w:val="32"/>
          <w:szCs w:val="32"/>
          <w:highlight w:val="none"/>
        </w:rPr>
        <w:t>个月惩戒期，惩戒期内不得与</w:t>
      </w:r>
      <w:r>
        <w:rPr>
          <w:rFonts w:hint="eastAsia" w:ascii="仿宋_GB2312" w:hAnsi="仿宋" w:eastAsia="仿宋_GB2312" w:cs="仿宋"/>
          <w:b w:val="0"/>
          <w:bCs w:val="0"/>
          <w:color w:val="auto"/>
          <w:spacing w:val="0"/>
          <w:kern w:val="56"/>
          <w:sz w:val="32"/>
          <w:szCs w:val="32"/>
          <w:highlight w:val="none"/>
          <w:lang w:val="en-US" w:eastAsia="zh-CN"/>
        </w:rPr>
        <w:t>新疆公司所属火电企业</w:t>
      </w:r>
      <w:r>
        <w:rPr>
          <w:rFonts w:hint="eastAsia" w:ascii="仿宋_GB2312" w:hAnsi="仿宋" w:eastAsia="仿宋_GB2312" w:cs="仿宋"/>
          <w:b w:val="0"/>
          <w:bCs w:val="0"/>
          <w:color w:val="auto"/>
          <w:spacing w:val="0"/>
          <w:kern w:val="56"/>
          <w:sz w:val="32"/>
          <w:szCs w:val="32"/>
          <w:highlight w:val="none"/>
        </w:rPr>
        <w:t>发生电煤</w:t>
      </w:r>
      <w:r>
        <w:rPr>
          <w:rFonts w:hint="eastAsia" w:ascii="仿宋_GB2312" w:hAnsi="仿宋" w:eastAsia="仿宋_GB2312" w:cs="仿宋"/>
          <w:b w:val="0"/>
          <w:bCs w:val="0"/>
          <w:color w:val="auto"/>
          <w:spacing w:val="0"/>
          <w:kern w:val="56"/>
          <w:sz w:val="32"/>
          <w:szCs w:val="32"/>
          <w:highlight w:val="none"/>
          <w:lang w:val="en-US" w:eastAsia="zh-CN"/>
        </w:rPr>
        <w:t>运输</w:t>
      </w:r>
      <w:r>
        <w:rPr>
          <w:rFonts w:hint="eastAsia" w:ascii="仿宋_GB2312" w:hAnsi="仿宋" w:eastAsia="仿宋_GB2312" w:cs="仿宋"/>
          <w:b w:val="0"/>
          <w:bCs w:val="0"/>
          <w:color w:val="auto"/>
          <w:spacing w:val="0"/>
          <w:kern w:val="56"/>
          <w:sz w:val="32"/>
          <w:szCs w:val="32"/>
          <w:highlight w:val="none"/>
        </w:rPr>
        <w:t>业务</w:t>
      </w:r>
      <w:r>
        <w:rPr>
          <w:rFonts w:hint="eastAsia" w:ascii="仿宋_GB2312" w:hAnsi="仿宋_GB2312" w:eastAsia="仿宋_GB2312" w:cs="仿宋_GB2312"/>
          <w:color w:val="auto"/>
          <w:spacing w:val="0"/>
          <w:sz w:val="32"/>
          <w:highlight w:val="none"/>
        </w:rPr>
        <w:t>。</w:t>
      </w:r>
    </w:p>
    <w:p w14:paraId="3653EFCF">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rPr>
        <w:t>（</w:t>
      </w:r>
      <w:r>
        <w:rPr>
          <w:rFonts w:hint="eastAsia" w:ascii="仿宋_GB2312" w:eastAsia="仿宋_GB2312"/>
          <w:color w:val="auto"/>
          <w:spacing w:val="0"/>
          <w:sz w:val="32"/>
          <w:highlight w:val="none"/>
          <w:lang w:val="en-US" w:eastAsia="zh-CN"/>
        </w:rPr>
        <w:t>五</w:t>
      </w:r>
      <w:r>
        <w:rPr>
          <w:rFonts w:hint="eastAsia" w:ascii="仿宋_GB2312" w:eastAsia="仿宋_GB2312"/>
          <w:color w:val="auto"/>
          <w:spacing w:val="0"/>
          <w:sz w:val="32"/>
          <w:highlight w:val="none"/>
        </w:rPr>
        <w:t>）验收及结算方式</w:t>
      </w:r>
    </w:p>
    <w:p w14:paraId="30C5BE26">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rPr>
        <w:t>1. 煤炭</w:t>
      </w:r>
      <w:r>
        <w:rPr>
          <w:rFonts w:hint="eastAsia" w:ascii="仿宋_GB2312" w:eastAsia="仿宋_GB2312"/>
          <w:color w:val="auto"/>
          <w:spacing w:val="0"/>
          <w:sz w:val="32"/>
          <w:highlight w:val="none"/>
          <w:lang w:val="en-US" w:eastAsia="zh-CN"/>
        </w:rPr>
        <w:t>运输</w:t>
      </w:r>
      <w:r>
        <w:rPr>
          <w:rFonts w:hint="eastAsia" w:ascii="仿宋_GB2312" w:eastAsia="仿宋_GB2312"/>
          <w:color w:val="auto"/>
          <w:spacing w:val="0"/>
          <w:sz w:val="32"/>
          <w:highlight w:val="none"/>
        </w:rPr>
        <w:t>合同价格：以实际签订合同条款为准</w:t>
      </w:r>
      <w:r>
        <w:rPr>
          <w:rFonts w:hint="eastAsia" w:ascii="仿宋_GB2312" w:eastAsia="仿宋_GB2312"/>
          <w:color w:val="auto"/>
          <w:spacing w:val="0"/>
          <w:sz w:val="32"/>
          <w:highlight w:val="none"/>
          <w:lang w:eastAsia="zh-CN"/>
        </w:rPr>
        <w:t>。</w:t>
      </w:r>
    </w:p>
    <w:p w14:paraId="43907721">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rPr>
      </w:pPr>
      <w:r>
        <w:rPr>
          <w:rFonts w:hint="eastAsia" w:ascii="仿宋_GB2312" w:eastAsia="仿宋_GB2312"/>
          <w:color w:val="auto"/>
          <w:spacing w:val="0"/>
          <w:sz w:val="32"/>
          <w:highlight w:val="none"/>
          <w:lang w:val="en-US" w:eastAsia="zh-CN"/>
        </w:rPr>
        <w:t>2</w:t>
      </w:r>
      <w:r>
        <w:rPr>
          <w:rFonts w:hint="eastAsia" w:ascii="仿宋_GB2312" w:eastAsia="仿宋_GB2312"/>
          <w:color w:val="auto"/>
          <w:spacing w:val="0"/>
          <w:sz w:val="32"/>
          <w:highlight w:val="none"/>
        </w:rPr>
        <w:t>. 验收标准：</w:t>
      </w:r>
      <w:r>
        <w:rPr>
          <w:rFonts w:hint="eastAsia" w:ascii="仿宋_GB2312" w:eastAsia="仿宋_GB2312"/>
          <w:color w:val="auto"/>
          <w:spacing w:val="0"/>
          <w:sz w:val="32"/>
          <w:highlight w:val="none"/>
          <w:lang w:val="en-US" w:eastAsia="zh-CN"/>
        </w:rPr>
        <w:t>数量</w:t>
      </w:r>
      <w:r>
        <w:rPr>
          <w:rFonts w:hint="eastAsia" w:ascii="仿宋_GB2312" w:eastAsia="仿宋_GB2312"/>
          <w:color w:val="auto"/>
          <w:spacing w:val="0"/>
          <w:sz w:val="32"/>
          <w:highlight w:val="none"/>
        </w:rPr>
        <w:t>以收货单位过磅数量为准。</w:t>
      </w:r>
    </w:p>
    <w:p w14:paraId="1C58D6E9">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lang w:val="en-US" w:eastAsia="zh-CN"/>
        </w:rPr>
      </w:pPr>
      <w:r>
        <w:rPr>
          <w:rFonts w:hint="eastAsia" w:ascii="仿宋_GB2312" w:eastAsia="仿宋_GB2312"/>
          <w:color w:val="auto"/>
          <w:spacing w:val="0"/>
          <w:sz w:val="32"/>
          <w:highlight w:val="none"/>
          <w:lang w:val="en-US" w:eastAsia="zh-CN"/>
        </w:rPr>
        <w:t>3</w:t>
      </w:r>
      <w:r>
        <w:rPr>
          <w:rFonts w:hint="eastAsia" w:ascii="仿宋_GB2312" w:eastAsia="仿宋_GB2312"/>
          <w:color w:val="auto"/>
          <w:spacing w:val="0"/>
          <w:sz w:val="32"/>
          <w:highlight w:val="none"/>
        </w:rPr>
        <w:t xml:space="preserve">. 结算方式：数量核对无误后, </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供应商开具符合国家税法规定的增值税专用发票后提交</w:t>
      </w:r>
      <w:r>
        <w:rPr>
          <w:rFonts w:hint="eastAsia" w:ascii="仿宋_GB2312" w:eastAsia="仿宋_GB2312"/>
          <w:color w:val="auto"/>
          <w:spacing w:val="0"/>
          <w:sz w:val="32"/>
          <w:highlight w:val="none"/>
          <w:lang w:val="en-US" w:eastAsia="zh-CN"/>
        </w:rPr>
        <w:t>电厂</w:t>
      </w:r>
      <w:r>
        <w:rPr>
          <w:rFonts w:hint="eastAsia" w:ascii="仿宋_GB2312" w:eastAsia="仿宋_GB2312"/>
          <w:color w:val="auto"/>
          <w:spacing w:val="0"/>
          <w:sz w:val="32"/>
          <w:highlight w:val="none"/>
        </w:rPr>
        <w:t>办理结算，运费结算周期与煤炭结算周期同步</w:t>
      </w:r>
      <w:r>
        <w:rPr>
          <w:rFonts w:hint="eastAsia" w:ascii="仿宋_GB2312" w:eastAsia="仿宋_GB2312"/>
          <w:color w:val="auto"/>
          <w:spacing w:val="0"/>
          <w:sz w:val="32"/>
          <w:highlight w:val="none"/>
          <w:lang w:eastAsia="zh-CN"/>
        </w:rPr>
        <w:t>。</w:t>
      </w:r>
    </w:p>
    <w:p w14:paraId="50CB5CFE">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default" w:ascii="仿宋_GB2312" w:eastAsia="仿宋_GB2312"/>
          <w:color w:val="auto"/>
          <w:spacing w:val="0"/>
          <w:sz w:val="32"/>
          <w:highlight w:val="none"/>
          <w:lang w:val="en-US" w:eastAsia="zh-CN"/>
        </w:rPr>
      </w:pPr>
      <w:r>
        <w:rPr>
          <w:rFonts w:hint="eastAsia" w:ascii="仿宋_GB2312" w:eastAsia="仿宋_GB2312"/>
          <w:color w:val="auto"/>
          <w:spacing w:val="0"/>
          <w:sz w:val="32"/>
          <w:highlight w:val="none"/>
          <w:lang w:val="en-US" w:eastAsia="zh-CN"/>
        </w:rPr>
        <w:t xml:space="preserve">4. </w:t>
      </w:r>
      <w:r>
        <w:rPr>
          <w:rFonts w:hint="eastAsia" w:ascii="仿宋_GB2312" w:eastAsia="仿宋_GB2312"/>
          <w:color w:val="auto"/>
          <w:spacing w:val="0"/>
          <w:sz w:val="32"/>
          <w:highlight w:val="none"/>
        </w:rPr>
        <w:t>付款方式：承兑汇票或电汇。因承兑汇票产生的贴息费</w:t>
      </w:r>
      <w:r>
        <w:rPr>
          <w:rFonts w:hint="eastAsia" w:ascii="仿宋_GB2312" w:eastAsia="仿宋_GB2312"/>
          <w:color w:val="auto"/>
          <w:spacing w:val="0"/>
          <w:sz w:val="32"/>
          <w:highlight w:val="none"/>
          <w:lang w:eastAsia="zh-CN"/>
        </w:rPr>
        <w:t>、</w:t>
      </w:r>
      <w:r>
        <w:rPr>
          <w:rFonts w:hint="eastAsia" w:ascii="仿宋_GB2312" w:eastAsia="仿宋_GB2312"/>
          <w:color w:val="auto"/>
          <w:spacing w:val="0"/>
          <w:sz w:val="32"/>
          <w:highlight w:val="none"/>
        </w:rPr>
        <w:t>手续费等相关费用均由</w:t>
      </w:r>
      <w:r>
        <w:rPr>
          <w:rFonts w:hint="eastAsia" w:ascii="仿宋_GB2312" w:eastAsia="仿宋_GB2312"/>
          <w:color w:val="auto"/>
          <w:spacing w:val="0"/>
          <w:sz w:val="32"/>
          <w:highlight w:val="none"/>
          <w:lang w:val="en-US" w:eastAsia="zh-CN"/>
        </w:rPr>
        <w:t>中价</w:t>
      </w:r>
      <w:r>
        <w:rPr>
          <w:rFonts w:hint="eastAsia" w:ascii="仿宋_GB2312" w:eastAsia="仿宋_GB2312"/>
          <w:color w:val="auto"/>
          <w:spacing w:val="0"/>
          <w:sz w:val="32"/>
          <w:highlight w:val="none"/>
        </w:rPr>
        <w:t>供应商承担。</w:t>
      </w:r>
    </w:p>
    <w:p w14:paraId="04A570F8">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hint="default" w:ascii="黑体" w:hAnsi="黑体" w:eastAsia="黑体"/>
          <w:b/>
          <w:bCs/>
          <w:color w:val="auto"/>
          <w:spacing w:val="0"/>
          <w:sz w:val="32"/>
          <w:highlight w:val="none"/>
          <w:lang w:val="en-US" w:eastAsia="zh-CN"/>
        </w:rPr>
      </w:pPr>
      <w:r>
        <w:rPr>
          <w:rFonts w:hint="eastAsia" w:ascii="黑体" w:hAnsi="黑体" w:eastAsia="黑体"/>
          <w:b/>
          <w:bCs/>
          <w:color w:val="auto"/>
          <w:spacing w:val="0"/>
          <w:sz w:val="32"/>
          <w:highlight w:val="none"/>
          <w:lang w:val="en-US" w:eastAsia="zh-CN"/>
        </w:rPr>
        <w:t>十、</w:t>
      </w:r>
      <w:r>
        <w:rPr>
          <w:rFonts w:hint="eastAsia" w:ascii="黑体" w:hAnsi="黑体" w:eastAsia="黑体"/>
          <w:b/>
          <w:bCs/>
          <w:color w:val="auto"/>
          <w:spacing w:val="0"/>
          <w:sz w:val="32"/>
          <w:highlight w:val="none"/>
          <w:lang w:val="en-US"/>
        </w:rPr>
        <w:t>供应商</w:t>
      </w:r>
      <w:r>
        <w:rPr>
          <w:rFonts w:hint="eastAsia" w:ascii="黑体" w:hAnsi="黑体" w:eastAsia="黑体"/>
          <w:b/>
          <w:bCs/>
          <w:color w:val="auto"/>
          <w:spacing w:val="0"/>
          <w:sz w:val="32"/>
          <w:highlight w:val="none"/>
          <w:lang w:val="en-US" w:eastAsia="zh-CN"/>
        </w:rPr>
        <w:t>评价</w:t>
      </w:r>
    </w:p>
    <w:p w14:paraId="3E8AD488">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eastAsia="仿宋_GB2312"/>
          <w:color w:val="auto"/>
          <w:spacing w:val="0"/>
          <w:sz w:val="32"/>
          <w:highlight w:val="none"/>
          <w:lang w:eastAsia="zh-CN"/>
        </w:rPr>
      </w:pPr>
      <w:r>
        <w:rPr>
          <w:rFonts w:hint="eastAsia" w:ascii="仿宋_GB2312" w:eastAsia="仿宋_GB2312"/>
          <w:color w:val="auto"/>
          <w:spacing w:val="0"/>
          <w:sz w:val="32"/>
          <w:highlight w:val="none"/>
          <w:lang w:eastAsia="zh-CN"/>
        </w:rPr>
        <w:t>供应商参与报价</w:t>
      </w:r>
      <w:r>
        <w:rPr>
          <w:rFonts w:hint="default" w:ascii="仿宋_GB2312" w:eastAsia="仿宋_GB2312"/>
          <w:color w:val="auto"/>
          <w:spacing w:val="0"/>
          <w:sz w:val="32"/>
          <w:highlight w:val="none"/>
          <w:lang w:eastAsia="zh-CN"/>
        </w:rPr>
        <w:t>的</w:t>
      </w:r>
      <w:r>
        <w:rPr>
          <w:rFonts w:hint="eastAsia" w:ascii="仿宋_GB2312" w:eastAsia="仿宋_GB2312"/>
          <w:color w:val="auto"/>
          <w:spacing w:val="0"/>
          <w:sz w:val="32"/>
          <w:highlight w:val="none"/>
          <w:lang w:eastAsia="zh-CN"/>
        </w:rPr>
        <w:t>，视</w:t>
      </w:r>
      <w:r>
        <w:rPr>
          <w:rFonts w:hint="default" w:ascii="仿宋_GB2312" w:eastAsia="仿宋_GB2312"/>
          <w:color w:val="auto"/>
          <w:spacing w:val="0"/>
          <w:sz w:val="32"/>
          <w:highlight w:val="none"/>
          <w:lang w:eastAsia="zh-CN"/>
        </w:rPr>
        <w:t>为</w:t>
      </w:r>
      <w:r>
        <w:rPr>
          <w:rFonts w:hint="eastAsia" w:ascii="仿宋_GB2312" w:eastAsia="仿宋_GB2312"/>
          <w:color w:val="auto"/>
          <w:spacing w:val="0"/>
          <w:sz w:val="32"/>
          <w:highlight w:val="none"/>
          <w:lang w:eastAsia="zh-CN"/>
        </w:rPr>
        <w:t>接受并遵守</w:t>
      </w:r>
      <w:r>
        <w:rPr>
          <w:rFonts w:hint="eastAsia" w:ascii="仿宋_GB2312" w:eastAsia="仿宋_GB2312"/>
          <w:color w:val="auto"/>
          <w:spacing w:val="0"/>
          <w:sz w:val="32"/>
          <w:highlight w:val="none"/>
          <w:lang w:val="en-US" w:eastAsia="zh-CN"/>
        </w:rPr>
        <w:t>《华电新疆发电有限公司电煤供应商管理办法》（详见附件）</w:t>
      </w:r>
      <w:r>
        <w:rPr>
          <w:rFonts w:hint="eastAsia" w:ascii="仿宋_GB2312" w:eastAsia="仿宋_GB2312"/>
          <w:color w:val="auto"/>
          <w:spacing w:val="0"/>
          <w:sz w:val="32"/>
          <w:highlight w:val="none"/>
          <w:lang w:eastAsia="zh-CN"/>
        </w:rPr>
        <w:t>，有触发以下“阶段退出”或“永久退出”行为之一的供应商，</w:t>
      </w:r>
      <w:r>
        <w:rPr>
          <w:rFonts w:hint="default" w:ascii="仿宋_GB2312" w:eastAsia="仿宋_GB2312"/>
          <w:color w:val="auto"/>
          <w:spacing w:val="0"/>
          <w:sz w:val="32"/>
          <w:highlight w:val="none"/>
        </w:rPr>
        <w:t>将强制执行</w:t>
      </w:r>
      <w:r>
        <w:rPr>
          <w:rFonts w:hint="eastAsia" w:ascii="仿宋_GB2312" w:eastAsia="仿宋_GB2312"/>
          <w:color w:val="auto"/>
          <w:spacing w:val="0"/>
          <w:sz w:val="32"/>
          <w:highlight w:val="none"/>
        </w:rPr>
        <w:t>供应商</w:t>
      </w:r>
      <w:r>
        <w:rPr>
          <w:rFonts w:hint="default" w:ascii="仿宋_GB2312" w:eastAsia="仿宋_GB2312"/>
          <w:color w:val="auto"/>
          <w:spacing w:val="0"/>
          <w:sz w:val="32"/>
          <w:highlight w:val="none"/>
        </w:rPr>
        <w:t>退出机制</w:t>
      </w:r>
      <w:r>
        <w:rPr>
          <w:rFonts w:hint="eastAsia" w:ascii="仿宋_GB2312" w:eastAsia="仿宋_GB2312"/>
          <w:color w:val="auto"/>
          <w:spacing w:val="0"/>
          <w:sz w:val="32"/>
          <w:highlight w:val="none"/>
          <w:lang w:eastAsia="zh-CN"/>
        </w:rPr>
        <w:t>：</w:t>
      </w:r>
    </w:p>
    <w:p w14:paraId="226FD522">
      <w:pPr>
        <w:keepNext w:val="0"/>
        <w:keepLines w:val="0"/>
        <w:pageBreakBefore w:val="0"/>
        <w:shd w:val="clear"/>
        <w:tabs>
          <w:tab w:val="left" w:pos="1279"/>
        </w:tabs>
        <w:kinsoku/>
        <w:wordWrap/>
        <w:overflowPunct/>
        <w:topLinePunct w:val="0"/>
        <w:autoSpaceDE w:val="0"/>
        <w:autoSpaceDN w:val="0"/>
        <w:bidi w:val="0"/>
        <w:adjustRightInd/>
        <w:snapToGrid/>
        <w:spacing w:line="560" w:lineRule="exact"/>
        <w:ind w:firstLine="643" w:firstLineChars="200"/>
        <w:textAlignment w:val="auto"/>
        <w:rPr>
          <w:rFonts w:hint="eastAsia" w:ascii="仿宋_GB2312" w:eastAsia="仿宋_GB2312" w:cstheme="minorBidi"/>
          <w:b/>
          <w:bCs/>
          <w:color w:val="auto"/>
          <w:spacing w:val="0"/>
          <w:sz w:val="32"/>
          <w:szCs w:val="24"/>
          <w:highlight w:val="none"/>
          <w:lang w:val="en-US" w:eastAsia="zh-CN"/>
        </w:rPr>
      </w:pPr>
      <w:r>
        <w:rPr>
          <w:rFonts w:hint="eastAsia" w:ascii="仿宋_GB2312" w:eastAsia="仿宋_GB2312" w:cstheme="minorBidi"/>
          <w:b/>
          <w:bCs/>
          <w:color w:val="auto"/>
          <w:spacing w:val="0"/>
          <w:sz w:val="32"/>
          <w:szCs w:val="24"/>
          <w:highlight w:val="none"/>
          <w:lang w:eastAsia="zh-CN"/>
        </w:rPr>
        <w:t>（</w:t>
      </w:r>
      <w:r>
        <w:rPr>
          <w:rFonts w:hint="eastAsia" w:ascii="仿宋_GB2312" w:eastAsia="仿宋_GB2312" w:cstheme="minorBidi"/>
          <w:b/>
          <w:bCs/>
          <w:color w:val="auto"/>
          <w:spacing w:val="0"/>
          <w:sz w:val="32"/>
          <w:szCs w:val="24"/>
          <w:highlight w:val="none"/>
          <w:lang w:val="en-US" w:eastAsia="zh-CN"/>
        </w:rPr>
        <w:t>一</w:t>
      </w:r>
      <w:r>
        <w:rPr>
          <w:rFonts w:hint="eastAsia" w:ascii="仿宋_GB2312" w:eastAsia="仿宋_GB2312" w:cstheme="minorBidi"/>
          <w:b/>
          <w:bCs/>
          <w:color w:val="auto"/>
          <w:spacing w:val="0"/>
          <w:sz w:val="32"/>
          <w:szCs w:val="24"/>
          <w:highlight w:val="none"/>
          <w:lang w:eastAsia="zh-CN"/>
        </w:rPr>
        <w:t>）</w:t>
      </w:r>
      <w:r>
        <w:rPr>
          <w:rFonts w:hint="eastAsia" w:ascii="仿宋_GB2312" w:eastAsia="仿宋_GB2312" w:cstheme="minorBidi"/>
          <w:b/>
          <w:bCs/>
          <w:color w:val="auto"/>
          <w:spacing w:val="0"/>
          <w:sz w:val="32"/>
          <w:szCs w:val="24"/>
          <w:highlight w:val="none"/>
          <w:lang w:val="en-US" w:eastAsia="zh-CN"/>
        </w:rPr>
        <w:t>关联关系定义</w:t>
      </w:r>
    </w:p>
    <w:p w14:paraId="11C8FCBE">
      <w:pPr>
        <w:keepNext w:val="0"/>
        <w:keepLines w:val="0"/>
        <w:pageBreakBefore w:val="0"/>
        <w:widowControl/>
        <w:numPr>
          <w:ilvl w:val="0"/>
          <w:numId w:val="0"/>
        </w:numPr>
        <w:shd w:val="clear"/>
        <w:tabs>
          <w:tab w:val="left" w:pos="426"/>
        </w:tabs>
        <w:kinsoku/>
        <w:wordWrap/>
        <w:overflowPunct/>
        <w:topLinePunct w:val="0"/>
        <w:autoSpaceDE/>
        <w:autoSpaceDN/>
        <w:bidi w:val="0"/>
        <w:adjustRightInd w:val="0"/>
        <w:snapToGrid w:val="0"/>
        <w:spacing w:before="0" w:beforeLines="0" w:after="0" w:afterLines="0" w:line="560" w:lineRule="exact"/>
        <w:ind w:right="0" w:rightChars="0" w:firstLine="643" w:firstLineChars="200"/>
        <w:jc w:val="both"/>
        <w:textAlignment w:val="auto"/>
        <w:outlineLvl w:val="9"/>
        <w:rPr>
          <w:rFonts w:hint="default"/>
          <w:spacing w:val="0"/>
          <w:lang w:val="en-US" w:eastAsia="zh-CN"/>
        </w:rPr>
      </w:pPr>
      <w:r>
        <w:rPr>
          <w:rFonts w:hint="default" w:ascii="仿宋_GB2312" w:hAnsi="仿宋" w:eastAsia="仿宋_GB2312" w:cs="仿宋"/>
          <w:b/>
          <w:bCs w:val="0"/>
          <w:color w:val="auto"/>
          <w:spacing w:val="0"/>
          <w:kern w:val="2"/>
          <w:sz w:val="32"/>
          <w:szCs w:val="32"/>
          <w:highlight w:val="none"/>
          <w:lang w:bidi="en-US"/>
        </w:rPr>
        <w:t>企业法定代表人或被授权人</w:t>
      </w:r>
      <w:r>
        <w:rPr>
          <w:rFonts w:hint="default" w:ascii="仿宋_GB2312" w:hAnsi="仿宋" w:eastAsia="仿宋_GB2312" w:cs="仿宋"/>
          <w:b/>
          <w:bCs w:val="0"/>
          <w:color w:val="auto"/>
          <w:spacing w:val="0"/>
          <w:kern w:val="2"/>
          <w:sz w:val="32"/>
          <w:szCs w:val="32"/>
          <w:highlight w:val="none"/>
          <w:lang w:eastAsia="zh-CN" w:bidi="en-US"/>
        </w:rPr>
        <w:t>关联关系</w:t>
      </w:r>
      <w:r>
        <w:rPr>
          <w:rFonts w:hint="default" w:ascii="仿宋_GB2312" w:hAnsi="仿宋" w:eastAsia="仿宋_GB2312" w:cs="仿宋"/>
          <w:bCs/>
          <w:color w:val="auto"/>
          <w:spacing w:val="0"/>
          <w:kern w:val="2"/>
          <w:sz w:val="32"/>
          <w:szCs w:val="32"/>
          <w:highlight w:val="none"/>
          <w:lang w:val="en-US" w:eastAsia="zh-CN" w:bidi="en-US"/>
        </w:rPr>
        <w:t>是</w:t>
      </w:r>
      <w:r>
        <w:rPr>
          <w:rFonts w:hint="default" w:ascii="仿宋_GB2312" w:hAnsi="仿宋" w:eastAsia="仿宋_GB2312" w:cs="仿宋"/>
          <w:bCs/>
          <w:color w:val="auto"/>
          <w:spacing w:val="0"/>
          <w:kern w:val="2"/>
          <w:sz w:val="32"/>
          <w:szCs w:val="32"/>
          <w:highlight w:val="none"/>
          <w:lang w:eastAsia="zh-CN" w:bidi="en-US"/>
        </w:rPr>
        <w:t>指在电煤竞价</w:t>
      </w:r>
      <w:r>
        <w:rPr>
          <w:rFonts w:hint="eastAsia" w:ascii="仿宋_GB2312" w:hAnsi="仿宋" w:eastAsia="仿宋_GB2312" w:cs="仿宋"/>
          <w:bCs w:val="0"/>
          <w:color w:val="auto"/>
          <w:spacing w:val="0"/>
          <w:kern w:val="56"/>
          <w:sz w:val="32"/>
          <w:szCs w:val="32"/>
          <w:highlight w:val="none"/>
          <w:lang w:eastAsia="zh-CN" w:bidi="en-US"/>
        </w:rPr>
        <w:t>平台或工商信息注册登记中法人、</w:t>
      </w:r>
      <w:r>
        <w:rPr>
          <w:rFonts w:hint="eastAsia" w:ascii="仿宋_GB2312" w:hAnsi="仿宋" w:eastAsia="仿宋_GB2312" w:cs="仿宋"/>
          <w:bCs w:val="0"/>
          <w:color w:val="auto"/>
          <w:spacing w:val="0"/>
          <w:kern w:val="56"/>
          <w:sz w:val="32"/>
          <w:szCs w:val="32"/>
          <w:highlight w:val="none"/>
          <w:lang w:bidi="en-US"/>
        </w:rPr>
        <w:t>被授权人</w:t>
      </w:r>
      <w:r>
        <w:rPr>
          <w:rFonts w:hint="eastAsia" w:ascii="仿宋_GB2312" w:hAnsi="仿宋" w:eastAsia="仿宋_GB2312" w:cs="仿宋"/>
          <w:bCs w:val="0"/>
          <w:color w:val="auto"/>
          <w:spacing w:val="0"/>
          <w:kern w:val="56"/>
          <w:sz w:val="32"/>
          <w:szCs w:val="32"/>
          <w:highlight w:val="none"/>
          <w:lang w:eastAsia="zh-CN" w:bidi="en-US"/>
        </w:rPr>
        <w:t>、联系人、电话或邮箱</w:t>
      </w:r>
      <w:r>
        <w:rPr>
          <w:rFonts w:hint="eastAsia" w:ascii="仿宋_GB2312" w:hAnsi="仿宋" w:eastAsia="仿宋_GB2312" w:cs="仿宋"/>
          <w:bCs w:val="0"/>
          <w:color w:val="auto"/>
          <w:spacing w:val="0"/>
          <w:kern w:val="56"/>
          <w:sz w:val="32"/>
          <w:szCs w:val="32"/>
          <w:highlight w:val="none"/>
          <w:lang w:val="en-US" w:eastAsia="zh-CN" w:bidi="en-US"/>
        </w:rPr>
        <w:t>任一信息</w:t>
      </w:r>
      <w:r>
        <w:rPr>
          <w:rFonts w:hint="eastAsia" w:ascii="仿宋_GB2312" w:hAnsi="仿宋" w:eastAsia="仿宋_GB2312" w:cs="仿宋"/>
          <w:bCs w:val="0"/>
          <w:color w:val="auto"/>
          <w:spacing w:val="0"/>
          <w:kern w:val="56"/>
          <w:sz w:val="32"/>
          <w:szCs w:val="32"/>
          <w:highlight w:val="none"/>
          <w:lang w:eastAsia="zh-CN" w:bidi="en-US"/>
        </w:rPr>
        <w:t>相同。</w:t>
      </w:r>
      <w:r>
        <w:rPr>
          <w:rFonts w:hint="eastAsia" w:ascii="仿宋_GB2312" w:hAnsi="仿宋" w:eastAsia="仿宋_GB2312" w:cs="仿宋"/>
          <w:b/>
          <w:bCs/>
          <w:color w:val="auto"/>
          <w:spacing w:val="0"/>
          <w:kern w:val="56"/>
          <w:sz w:val="32"/>
          <w:szCs w:val="32"/>
          <w:highlight w:val="none"/>
          <w:lang w:val="en-US" w:eastAsia="zh-CN" w:bidi="en-US"/>
        </w:rPr>
        <w:t>关联供应商</w:t>
      </w:r>
      <w:r>
        <w:rPr>
          <w:rFonts w:hint="eastAsia" w:ascii="仿宋_GB2312" w:hAnsi="仿宋" w:eastAsia="仿宋_GB2312" w:cs="仿宋"/>
          <w:bCs w:val="0"/>
          <w:color w:val="auto"/>
          <w:spacing w:val="0"/>
          <w:kern w:val="56"/>
          <w:sz w:val="32"/>
          <w:szCs w:val="32"/>
          <w:highlight w:val="none"/>
          <w:lang w:val="en-US" w:eastAsia="zh-CN" w:bidi="en-US"/>
        </w:rPr>
        <w:t>是指</w:t>
      </w:r>
      <w:r>
        <w:rPr>
          <w:rFonts w:hint="eastAsia" w:ascii="仿宋_GB2312" w:hAnsi="仿宋" w:eastAsia="仿宋_GB2312" w:cs="仿宋"/>
          <w:color w:val="auto"/>
          <w:spacing w:val="0"/>
          <w:kern w:val="56"/>
          <w:sz w:val="32"/>
          <w:szCs w:val="32"/>
          <w:highlight w:val="none"/>
          <w:lang w:val="en-US" w:eastAsia="zh-CN"/>
        </w:rPr>
        <w:t>具有</w:t>
      </w:r>
      <w:r>
        <w:rPr>
          <w:rFonts w:hint="eastAsia" w:ascii="仿宋_GB2312" w:hAnsi="仿宋" w:eastAsia="仿宋_GB2312" w:cs="仿宋"/>
          <w:color w:val="auto"/>
          <w:spacing w:val="0"/>
          <w:kern w:val="56"/>
          <w:sz w:val="32"/>
          <w:szCs w:val="32"/>
          <w:highlight w:val="none"/>
        </w:rPr>
        <w:t>相同法人</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或被授权人</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rPr>
        <w:t>、相同受益人、相同控制人、相同联系人</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电煤竞价平台或工商信息注册登记中联系人、电话或邮箱任一相同的</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的供应商。</w:t>
      </w:r>
    </w:p>
    <w:p w14:paraId="5896B3F3">
      <w:pPr>
        <w:keepNext w:val="0"/>
        <w:keepLines w:val="0"/>
        <w:pageBreakBefore w:val="0"/>
        <w:shd w:val="clear"/>
        <w:tabs>
          <w:tab w:val="left" w:pos="1279"/>
        </w:tabs>
        <w:kinsoku/>
        <w:wordWrap/>
        <w:overflowPunct/>
        <w:topLinePunct w:val="0"/>
        <w:autoSpaceDE w:val="0"/>
        <w:autoSpaceDN w:val="0"/>
        <w:bidi w:val="0"/>
        <w:adjustRightInd/>
        <w:snapToGrid/>
        <w:spacing w:line="560" w:lineRule="exact"/>
        <w:ind w:firstLine="643" w:firstLineChars="200"/>
        <w:textAlignment w:val="auto"/>
        <w:rPr>
          <w:rFonts w:hint="eastAsia" w:ascii="仿宋_GB2312" w:eastAsia="仿宋_GB2312" w:hAnsiTheme="minorHAnsi" w:cstheme="minorBidi"/>
          <w:b/>
          <w:bCs/>
          <w:color w:val="auto"/>
          <w:spacing w:val="0"/>
          <w:sz w:val="32"/>
          <w:szCs w:val="24"/>
          <w:highlight w:val="none"/>
        </w:rPr>
      </w:pPr>
      <w:r>
        <w:rPr>
          <w:rFonts w:hint="eastAsia" w:ascii="仿宋_GB2312" w:eastAsia="仿宋_GB2312" w:hAnsiTheme="minorHAnsi" w:cstheme="minorBidi"/>
          <w:b/>
          <w:bCs/>
          <w:color w:val="auto"/>
          <w:spacing w:val="0"/>
          <w:sz w:val="32"/>
          <w:szCs w:val="24"/>
          <w:highlight w:val="none"/>
          <w:lang w:eastAsia="zh-CN"/>
        </w:rPr>
        <w:t>（</w:t>
      </w:r>
      <w:r>
        <w:rPr>
          <w:rFonts w:hint="eastAsia" w:ascii="仿宋_GB2312" w:eastAsia="仿宋_GB2312" w:cstheme="minorBidi"/>
          <w:b/>
          <w:bCs/>
          <w:color w:val="auto"/>
          <w:spacing w:val="0"/>
          <w:sz w:val="32"/>
          <w:szCs w:val="24"/>
          <w:highlight w:val="none"/>
          <w:lang w:val="en-US" w:eastAsia="zh-CN"/>
        </w:rPr>
        <w:t>二</w:t>
      </w:r>
      <w:r>
        <w:rPr>
          <w:rFonts w:hint="eastAsia" w:ascii="仿宋_GB2312" w:eastAsia="仿宋_GB2312" w:hAnsiTheme="minorHAnsi" w:cstheme="minorBidi"/>
          <w:b/>
          <w:bCs/>
          <w:color w:val="auto"/>
          <w:spacing w:val="0"/>
          <w:sz w:val="32"/>
          <w:szCs w:val="24"/>
          <w:highlight w:val="none"/>
        </w:rPr>
        <w:t>）阶段退出</w:t>
      </w:r>
    </w:p>
    <w:p w14:paraId="5465D492">
      <w:pPr>
        <w:keepNext w:val="0"/>
        <w:keepLines w:val="0"/>
        <w:pageBreakBefore w:val="0"/>
        <w:shd w:val="clear"/>
        <w:tabs>
          <w:tab w:val="left" w:pos="1800"/>
        </w:tabs>
        <w:kinsoku/>
        <w:wordWrap/>
        <w:overflowPunct/>
        <w:topLinePunct w:val="0"/>
        <w:bidi w:val="0"/>
        <w:spacing w:beforeLines="0" w:afterLines="0" w:line="560" w:lineRule="exact"/>
        <w:ind w:firstLine="640" w:firstLineChars="200"/>
        <w:textAlignment w:val="auto"/>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rPr>
        <w:t>阶段退出的电煤供应商执行6个月惩戒期，</w:t>
      </w:r>
      <w:r>
        <w:rPr>
          <w:rFonts w:hint="eastAsia" w:ascii="仿宋_GB2312" w:eastAsia="仿宋_GB2312" w:hAnsiTheme="minorHAnsi" w:cstheme="minorBidi"/>
          <w:b w:val="0"/>
          <w:bCs w:val="0"/>
          <w:color w:val="auto"/>
          <w:spacing w:val="0"/>
          <w:kern w:val="2"/>
          <w:sz w:val="32"/>
          <w:szCs w:val="24"/>
          <w:highlight w:val="none"/>
        </w:rPr>
        <w:t>惩戒期内不得与</w:t>
      </w:r>
      <w:r>
        <w:rPr>
          <w:rFonts w:hint="eastAsia" w:ascii="仿宋_GB2312" w:eastAsia="仿宋_GB2312" w:cstheme="minorBidi"/>
          <w:b w:val="0"/>
          <w:bCs w:val="0"/>
          <w:color w:val="auto"/>
          <w:spacing w:val="0"/>
          <w:kern w:val="2"/>
          <w:sz w:val="32"/>
          <w:szCs w:val="24"/>
          <w:highlight w:val="none"/>
          <w:lang w:val="en-US" w:eastAsia="zh-CN"/>
        </w:rPr>
        <w:t>华电</w:t>
      </w:r>
      <w:r>
        <w:rPr>
          <w:rFonts w:hint="eastAsia" w:ascii="仿宋_GB2312" w:eastAsia="仿宋_GB2312" w:hAnsiTheme="minorHAnsi" w:cstheme="minorBidi"/>
          <w:b w:val="0"/>
          <w:bCs w:val="0"/>
          <w:color w:val="auto"/>
          <w:spacing w:val="0"/>
          <w:kern w:val="2"/>
          <w:sz w:val="32"/>
          <w:szCs w:val="24"/>
          <w:highlight w:val="none"/>
          <w:lang w:val="en-US" w:eastAsia="zh-CN"/>
        </w:rPr>
        <w:t>新疆</w:t>
      </w:r>
      <w:r>
        <w:rPr>
          <w:rFonts w:hint="eastAsia" w:ascii="仿宋_GB2312" w:eastAsia="仿宋_GB2312" w:hAnsiTheme="minorHAnsi" w:cstheme="minorBidi"/>
          <w:b w:val="0"/>
          <w:bCs w:val="0"/>
          <w:color w:val="auto"/>
          <w:spacing w:val="0"/>
          <w:kern w:val="2"/>
          <w:sz w:val="32"/>
          <w:szCs w:val="24"/>
          <w:highlight w:val="none"/>
          <w:lang w:eastAsia="zh-CN"/>
        </w:rPr>
        <w:t>公司所属单位</w:t>
      </w:r>
      <w:r>
        <w:rPr>
          <w:rFonts w:hint="eastAsia" w:ascii="仿宋_GB2312" w:eastAsia="仿宋_GB2312" w:hAnsiTheme="minorHAnsi" w:cstheme="minorBidi"/>
          <w:b w:val="0"/>
          <w:bCs w:val="0"/>
          <w:color w:val="auto"/>
          <w:spacing w:val="0"/>
          <w:kern w:val="2"/>
          <w:sz w:val="32"/>
          <w:szCs w:val="24"/>
          <w:highlight w:val="none"/>
        </w:rPr>
        <w:t>发生电煤采购业务</w:t>
      </w:r>
      <w:r>
        <w:rPr>
          <w:rFonts w:hint="eastAsia" w:ascii="仿宋_GB2312" w:eastAsia="仿宋_GB2312" w:cstheme="minorBidi"/>
          <w:b w:val="0"/>
          <w:bCs w:val="0"/>
          <w:color w:val="auto"/>
          <w:spacing w:val="0"/>
          <w:kern w:val="2"/>
          <w:sz w:val="32"/>
          <w:szCs w:val="24"/>
          <w:highlight w:val="none"/>
          <w:lang w:eastAsia="zh-CN"/>
        </w:rPr>
        <w:t>，</w:t>
      </w:r>
      <w:r>
        <w:rPr>
          <w:rFonts w:hint="eastAsia" w:ascii="仿宋_GB2312" w:hAnsi="仿宋" w:eastAsia="仿宋_GB2312" w:cs="仿宋"/>
          <w:color w:val="auto"/>
          <w:spacing w:val="0"/>
          <w:kern w:val="56"/>
          <w:sz w:val="32"/>
          <w:szCs w:val="32"/>
          <w:highlight w:val="none"/>
        </w:rPr>
        <w:t>惩戒期结束后不需要重新办理准入手续，可继续参与业务，触发阶段退出的条件如下：</w:t>
      </w:r>
    </w:p>
    <w:p w14:paraId="778AA915">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1. </w:t>
      </w:r>
      <w:r>
        <w:rPr>
          <w:rFonts w:hint="eastAsia" w:ascii="仿宋_GB2312" w:hAnsi="仿宋" w:eastAsia="仿宋_GB2312" w:cs="仿宋"/>
          <w:color w:val="auto"/>
          <w:spacing w:val="0"/>
          <w:kern w:val="56"/>
          <w:sz w:val="32"/>
          <w:szCs w:val="32"/>
          <w:highlight w:val="none"/>
        </w:rPr>
        <w:t>一个自然年内，因供应商原因，在接到书面采购通知后未签订煤炭购销合同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包括运输合同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rPr>
        <w:t>1次。</w:t>
      </w:r>
    </w:p>
    <w:p w14:paraId="6DFB9466">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2. </w:t>
      </w:r>
      <w:r>
        <w:rPr>
          <w:rFonts w:hint="eastAsia" w:ascii="仿宋_GB2312" w:hAnsi="仿宋" w:eastAsia="仿宋_GB2312" w:cs="仿宋"/>
          <w:color w:val="auto"/>
          <w:spacing w:val="0"/>
          <w:kern w:val="56"/>
          <w:sz w:val="32"/>
          <w:szCs w:val="32"/>
          <w:highlight w:val="none"/>
        </w:rPr>
        <w:t>一个自然年内，因供应商原因，在签订煤炭购销合同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包括运输合同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rPr>
        <w:t>后未启动发运1次。</w:t>
      </w:r>
    </w:p>
    <w:p w14:paraId="776B6A2B">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3. 关联供应商</w:t>
      </w:r>
      <w:r>
        <w:rPr>
          <w:rFonts w:hint="eastAsia" w:ascii="仿宋_GB2312" w:hAnsi="仿宋" w:eastAsia="仿宋_GB2312" w:cs="仿宋"/>
          <w:color w:val="auto"/>
          <w:spacing w:val="0"/>
          <w:kern w:val="56"/>
          <w:sz w:val="32"/>
          <w:szCs w:val="32"/>
          <w:highlight w:val="none"/>
        </w:rPr>
        <w:t>参与同一竞价1次。</w:t>
      </w:r>
    </w:p>
    <w:p w14:paraId="3377FE61">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lang w:eastAsia="zh-CN"/>
        </w:rPr>
      </w:pPr>
      <w:r>
        <w:rPr>
          <w:rFonts w:hint="eastAsia" w:ascii="仿宋_GB2312" w:hAnsi="仿宋" w:eastAsia="仿宋_GB2312" w:cs="仿宋"/>
          <w:color w:val="auto"/>
          <w:spacing w:val="0"/>
          <w:kern w:val="56"/>
          <w:sz w:val="32"/>
          <w:szCs w:val="32"/>
          <w:highlight w:val="none"/>
          <w:lang w:val="en-US" w:eastAsia="zh-CN"/>
        </w:rPr>
        <w:t xml:space="preserve">4. </w:t>
      </w:r>
      <w:r>
        <w:rPr>
          <w:rFonts w:hint="eastAsia" w:ascii="仿宋_GB2312" w:hAnsi="仿宋" w:eastAsia="仿宋_GB2312" w:cs="仿宋"/>
          <w:color w:val="auto"/>
          <w:spacing w:val="0"/>
          <w:kern w:val="56"/>
          <w:sz w:val="32"/>
          <w:szCs w:val="32"/>
          <w:highlight w:val="none"/>
        </w:rPr>
        <w:t>单一供应商在同一竞价与其他供应商使用相同IP报价1次</w:t>
      </w:r>
      <w:r>
        <w:rPr>
          <w:rFonts w:hint="eastAsia" w:ascii="仿宋_GB2312" w:hAnsi="仿宋" w:eastAsia="仿宋_GB2312" w:cs="仿宋"/>
          <w:color w:val="auto"/>
          <w:spacing w:val="0"/>
          <w:kern w:val="56"/>
          <w:sz w:val="32"/>
          <w:szCs w:val="32"/>
          <w:highlight w:val="none"/>
          <w:lang w:eastAsia="zh-CN"/>
        </w:rPr>
        <w:t>。</w:t>
      </w:r>
    </w:p>
    <w:p w14:paraId="1691810B">
      <w:pPr>
        <w:keepNext w:val="0"/>
        <w:keepLines w:val="0"/>
        <w:pageBreakBefore w:val="0"/>
        <w:widowControl w:val="0"/>
        <w:numPr>
          <w:ilvl w:val="-1"/>
          <w:numId w:val="0"/>
        </w:numPr>
        <w:shd w:val="clear" w:fill="auto"/>
        <w:tabs>
          <w:tab w:val="left" w:pos="1800"/>
        </w:tabs>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hint="eastAsia" w:ascii="仿宋_GB2312" w:hAnsi="仿宋" w:eastAsia="仿宋_GB2312" w:cs="仿宋"/>
          <w:b w:val="0"/>
          <w:color w:val="auto"/>
          <w:spacing w:val="0"/>
          <w:kern w:val="56"/>
          <w:sz w:val="32"/>
          <w:szCs w:val="32"/>
          <w:highlight w:val="none"/>
          <w:lang w:val="en-US" w:eastAsia="zh-CN"/>
        </w:rPr>
      </w:pPr>
      <w:r>
        <w:rPr>
          <w:rFonts w:hint="eastAsia" w:ascii="仿宋_GB2312" w:hAnsi="仿宋" w:eastAsia="仿宋_GB2312" w:cs="仿宋"/>
          <w:color w:val="auto"/>
          <w:spacing w:val="0"/>
          <w:kern w:val="56"/>
          <w:sz w:val="32"/>
          <w:szCs w:val="32"/>
          <w:highlight w:val="none"/>
          <w:lang w:val="en-US" w:eastAsia="zh-CN"/>
        </w:rPr>
        <w:t>5. 一个自然月内，</w:t>
      </w:r>
      <w:r>
        <w:rPr>
          <w:rFonts w:hint="eastAsia" w:ascii="仿宋_GB2312" w:hAnsi="仿宋" w:eastAsia="仿宋_GB2312" w:cs="仿宋"/>
          <w:b w:val="0"/>
          <w:color w:val="auto"/>
          <w:spacing w:val="0"/>
          <w:kern w:val="56"/>
          <w:sz w:val="32"/>
          <w:szCs w:val="32"/>
          <w:highlight w:val="none"/>
          <w:lang w:val="en-US" w:eastAsia="zh-CN"/>
        </w:rPr>
        <w:t>供应的煤炭单车含有较多石块、其他杂物或颗粒度超过合同约定达到3次。</w:t>
      </w:r>
    </w:p>
    <w:p w14:paraId="063B1D54">
      <w:pPr>
        <w:keepNext w:val="0"/>
        <w:keepLines w:val="0"/>
        <w:pageBreakBefore w:val="0"/>
        <w:widowControl w:val="0"/>
        <w:numPr>
          <w:ilvl w:val="-1"/>
          <w:numId w:val="0"/>
        </w:numPr>
        <w:shd w:val="clear" w:fill="auto"/>
        <w:tabs>
          <w:tab w:val="left" w:pos="1800"/>
        </w:tabs>
        <w:kinsoku/>
        <w:wordWrap/>
        <w:overflowPunct/>
        <w:topLinePunct w:val="0"/>
        <w:autoSpaceDE/>
        <w:autoSpaceDN/>
        <w:bidi w:val="0"/>
        <w:adjustRightInd/>
        <w:snapToGrid/>
        <w:spacing w:beforeLines="0" w:beforeAutospacing="0" w:afterLines="0" w:afterAutospacing="0" w:line="560" w:lineRule="exact"/>
        <w:ind w:left="0" w:leftChars="0" w:right="0" w:rightChars="0" w:firstLine="640" w:firstLineChars="200"/>
        <w:jc w:val="both"/>
        <w:textAlignment w:val="auto"/>
        <w:rPr>
          <w:rFonts w:hint="eastAsia" w:ascii="仿宋_GB2312" w:hAnsi="仿宋" w:eastAsia="仿宋_GB2312" w:cs="仿宋"/>
          <w:b w:val="0"/>
          <w:color w:val="auto"/>
          <w:spacing w:val="0"/>
          <w:kern w:val="56"/>
          <w:sz w:val="32"/>
          <w:szCs w:val="32"/>
          <w:highlight w:val="none"/>
          <w:lang w:val="en-US" w:eastAsia="zh-CN"/>
        </w:rPr>
      </w:pPr>
      <w:r>
        <w:rPr>
          <w:rFonts w:hint="eastAsia" w:ascii="仿宋_GB2312" w:hAnsi="仿宋" w:eastAsia="仿宋_GB2312" w:cs="仿宋"/>
          <w:color w:val="auto"/>
          <w:spacing w:val="0"/>
          <w:kern w:val="56"/>
          <w:sz w:val="32"/>
          <w:szCs w:val="32"/>
          <w:highlight w:val="none"/>
          <w:lang w:val="en-US" w:eastAsia="zh-CN"/>
        </w:rPr>
        <w:t>6. 一个自然月内，</w:t>
      </w:r>
      <w:r>
        <w:rPr>
          <w:rFonts w:hint="eastAsia" w:ascii="仿宋_GB2312" w:hAnsi="仿宋" w:eastAsia="仿宋_GB2312" w:cs="仿宋"/>
          <w:b w:val="0"/>
          <w:bCs w:val="0"/>
          <w:color w:val="auto"/>
          <w:spacing w:val="0"/>
          <w:kern w:val="56"/>
          <w:sz w:val="32"/>
          <w:szCs w:val="32"/>
          <w:highlight w:val="none"/>
          <w:lang w:val="en-US" w:eastAsia="zh-CN"/>
        </w:rPr>
        <w:t>供应的煤炭</w:t>
      </w:r>
      <w:r>
        <w:rPr>
          <w:rFonts w:hint="eastAsia" w:ascii="仿宋_GB2312" w:hAnsi="仿宋" w:eastAsia="仿宋_GB2312" w:cs="仿宋"/>
          <w:color w:val="auto"/>
          <w:spacing w:val="0"/>
          <w:kern w:val="56"/>
          <w:sz w:val="32"/>
          <w:szCs w:val="32"/>
          <w:highlight w:val="none"/>
          <w:lang w:val="en-US" w:eastAsia="zh-CN"/>
        </w:rPr>
        <w:t>水分明显高于正常来煤情况（</w:t>
      </w:r>
      <w:r>
        <w:rPr>
          <w:rFonts w:hint="eastAsia" w:ascii="仿宋_GB2312" w:hAnsi="仿宋" w:eastAsia="仿宋_GB2312" w:cs="仿宋"/>
          <w:color w:val="auto"/>
          <w:spacing w:val="0"/>
          <w:kern w:val="56"/>
          <w:sz w:val="32"/>
          <w:szCs w:val="32"/>
          <w:highlight w:val="none"/>
        </w:rPr>
        <w:t>车厢淌水</w:t>
      </w:r>
      <w:r>
        <w:rPr>
          <w:rFonts w:hint="eastAsia" w:ascii="仿宋_GB2312" w:hAnsi="仿宋" w:eastAsia="仿宋_GB2312" w:cs="仿宋"/>
          <w:color w:val="auto"/>
          <w:spacing w:val="0"/>
          <w:kern w:val="56"/>
          <w:sz w:val="32"/>
          <w:szCs w:val="32"/>
          <w:highlight w:val="none"/>
          <w:lang w:val="en-US" w:eastAsia="zh-CN"/>
        </w:rPr>
        <w:t>或造成采样机堵塞情况）</w:t>
      </w:r>
      <w:r>
        <w:rPr>
          <w:rFonts w:hint="eastAsia" w:ascii="仿宋_GB2312" w:hAnsi="仿宋" w:eastAsia="仿宋_GB2312" w:cs="仿宋"/>
          <w:b w:val="0"/>
          <w:color w:val="auto"/>
          <w:spacing w:val="0"/>
          <w:kern w:val="56"/>
          <w:sz w:val="32"/>
          <w:szCs w:val="32"/>
          <w:highlight w:val="none"/>
          <w:lang w:val="en-US" w:eastAsia="zh-CN"/>
        </w:rPr>
        <w:t>达到3次。</w:t>
      </w:r>
    </w:p>
    <w:p w14:paraId="7FF03C80">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lang w:val="en-US" w:eastAsia="zh-CN"/>
        </w:rPr>
      </w:pPr>
      <w:r>
        <w:rPr>
          <w:rFonts w:hint="eastAsia" w:ascii="仿宋_GB2312" w:hAnsi="仿宋" w:eastAsia="仿宋_GB2312" w:cs="仿宋"/>
          <w:color w:val="auto"/>
          <w:spacing w:val="0"/>
          <w:kern w:val="56"/>
          <w:sz w:val="32"/>
          <w:szCs w:val="32"/>
          <w:highlight w:val="none"/>
          <w:lang w:val="en-US" w:eastAsia="zh-CN"/>
        </w:rPr>
        <w:t>7. 已注册电煤竞价平台的供应商与阶段退出的供应商</w:t>
      </w:r>
      <w:r>
        <w:rPr>
          <w:rFonts w:hint="eastAsia" w:ascii="仿宋_GB2312" w:hAnsi="仿宋" w:eastAsia="仿宋_GB2312" w:cs="仿宋"/>
          <w:bCs w:val="0"/>
          <w:color w:val="auto"/>
          <w:spacing w:val="0"/>
          <w:kern w:val="56"/>
          <w:sz w:val="32"/>
          <w:szCs w:val="32"/>
          <w:highlight w:val="none"/>
          <w:lang w:bidi="en-US"/>
        </w:rPr>
        <w:t>企业法定代表人或被授权人</w:t>
      </w:r>
      <w:r>
        <w:rPr>
          <w:rFonts w:hint="eastAsia" w:ascii="仿宋_GB2312" w:hAnsi="仿宋" w:eastAsia="仿宋_GB2312" w:cs="仿宋"/>
          <w:color w:val="auto"/>
          <w:spacing w:val="0"/>
          <w:kern w:val="56"/>
          <w:sz w:val="32"/>
          <w:szCs w:val="32"/>
          <w:highlight w:val="none"/>
          <w:lang w:val="en-US" w:eastAsia="zh-CN"/>
        </w:rPr>
        <w:t>有关联关系的。</w:t>
      </w:r>
    </w:p>
    <w:p w14:paraId="40486D64">
      <w:pPr>
        <w:keepNext w:val="0"/>
        <w:keepLines w:val="0"/>
        <w:pageBreakBefore w:val="0"/>
        <w:shd w:val="clear"/>
        <w:tabs>
          <w:tab w:val="left" w:pos="1279"/>
        </w:tabs>
        <w:kinsoku/>
        <w:wordWrap/>
        <w:overflowPunct/>
        <w:topLinePunct w:val="0"/>
        <w:autoSpaceDE w:val="0"/>
        <w:autoSpaceDN w:val="0"/>
        <w:bidi w:val="0"/>
        <w:adjustRightInd/>
        <w:snapToGrid/>
        <w:spacing w:line="560" w:lineRule="exact"/>
        <w:ind w:firstLine="643" w:firstLineChars="200"/>
        <w:textAlignment w:val="auto"/>
        <w:rPr>
          <w:rFonts w:hint="eastAsia" w:ascii="仿宋_GB2312" w:eastAsia="仿宋_GB2312" w:hAnsiTheme="minorHAnsi" w:cstheme="minorBidi"/>
          <w:b/>
          <w:bCs/>
          <w:color w:val="auto"/>
          <w:spacing w:val="0"/>
          <w:sz w:val="32"/>
          <w:szCs w:val="24"/>
          <w:highlight w:val="none"/>
        </w:rPr>
      </w:pPr>
      <w:r>
        <w:rPr>
          <w:rFonts w:hint="eastAsia" w:ascii="仿宋_GB2312" w:eastAsia="仿宋_GB2312" w:hAnsiTheme="minorHAnsi" w:cstheme="minorBidi"/>
          <w:b/>
          <w:bCs/>
          <w:color w:val="auto"/>
          <w:spacing w:val="0"/>
          <w:sz w:val="32"/>
          <w:szCs w:val="24"/>
          <w:highlight w:val="none"/>
        </w:rPr>
        <w:t>（</w:t>
      </w:r>
      <w:r>
        <w:rPr>
          <w:rFonts w:hint="eastAsia" w:ascii="仿宋_GB2312" w:eastAsia="仿宋_GB2312" w:cstheme="minorBidi"/>
          <w:b/>
          <w:bCs/>
          <w:color w:val="auto"/>
          <w:spacing w:val="0"/>
          <w:sz w:val="32"/>
          <w:szCs w:val="24"/>
          <w:highlight w:val="none"/>
          <w:lang w:eastAsia="zh-CN"/>
        </w:rPr>
        <w:t>三</w:t>
      </w:r>
      <w:r>
        <w:rPr>
          <w:rFonts w:hint="eastAsia" w:ascii="仿宋_GB2312" w:eastAsia="仿宋_GB2312" w:hAnsiTheme="minorHAnsi" w:cstheme="minorBidi"/>
          <w:b/>
          <w:bCs/>
          <w:color w:val="auto"/>
          <w:spacing w:val="0"/>
          <w:sz w:val="32"/>
          <w:szCs w:val="24"/>
          <w:highlight w:val="none"/>
        </w:rPr>
        <w:t>）永久退出</w:t>
      </w:r>
    </w:p>
    <w:p w14:paraId="0411B555">
      <w:pPr>
        <w:keepNext w:val="0"/>
        <w:keepLines w:val="0"/>
        <w:pageBreakBefore w:val="0"/>
        <w:shd w:val="clear"/>
        <w:tabs>
          <w:tab w:val="left" w:pos="1279"/>
        </w:tabs>
        <w:kinsoku/>
        <w:wordWrap/>
        <w:overflowPunct/>
        <w:topLinePunct w:val="0"/>
        <w:autoSpaceDE w:val="0"/>
        <w:autoSpaceDN w:val="0"/>
        <w:bidi w:val="0"/>
        <w:adjustRightInd/>
        <w:snapToGrid/>
        <w:spacing w:line="560" w:lineRule="exact"/>
        <w:ind w:firstLine="640" w:firstLineChars="200"/>
        <w:textAlignment w:val="auto"/>
        <w:rPr>
          <w:rFonts w:hint="eastAsia" w:ascii="仿宋_GB2312" w:eastAsia="仿宋_GB2312" w:hAnsiTheme="minorHAnsi" w:cstheme="minorBidi"/>
          <w:color w:val="auto"/>
          <w:spacing w:val="0"/>
          <w:sz w:val="32"/>
          <w:szCs w:val="24"/>
          <w:highlight w:val="none"/>
        </w:rPr>
      </w:pPr>
      <w:r>
        <w:rPr>
          <w:rFonts w:hint="eastAsia" w:ascii="仿宋_GB2312" w:eastAsia="仿宋_GB2312" w:hAnsiTheme="minorHAnsi" w:cstheme="minorBidi"/>
          <w:color w:val="auto"/>
          <w:spacing w:val="0"/>
          <w:sz w:val="32"/>
          <w:szCs w:val="24"/>
          <w:highlight w:val="none"/>
        </w:rPr>
        <w:t>永久退出的电煤供应商须列入黑名单管理，不予重新办理准入手续，触发永久退出的条件如下：</w:t>
      </w:r>
    </w:p>
    <w:p w14:paraId="2B797995">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rPr>
        <w:t>永久退出的电煤供应商须列入黑名单管理，不予重新办理准入手续，触发永久退出的条件如下：</w:t>
      </w:r>
    </w:p>
    <w:p w14:paraId="115B233D">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1. </w:t>
      </w:r>
      <w:r>
        <w:rPr>
          <w:rFonts w:hint="eastAsia" w:ascii="仿宋_GB2312" w:hAnsi="仿宋" w:eastAsia="仿宋_GB2312" w:cs="仿宋"/>
          <w:color w:val="auto"/>
          <w:spacing w:val="0"/>
          <w:kern w:val="56"/>
          <w:sz w:val="32"/>
          <w:szCs w:val="32"/>
          <w:highlight w:val="none"/>
        </w:rPr>
        <w:t>一个自然年内，因供应商原因，在入选后未签订煤炭购销合同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包括运输合同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rPr>
        <w:t>累计2次。</w:t>
      </w:r>
    </w:p>
    <w:p w14:paraId="563C9FB1">
      <w:pPr>
        <w:numPr>
          <w:ilvl w:val="-1"/>
          <w:numId w:val="0"/>
        </w:num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2. </w:t>
      </w:r>
      <w:r>
        <w:rPr>
          <w:rFonts w:hint="eastAsia" w:ascii="仿宋_GB2312" w:hAnsi="仿宋" w:eastAsia="仿宋_GB2312" w:cs="仿宋"/>
          <w:color w:val="auto"/>
          <w:spacing w:val="0"/>
          <w:kern w:val="56"/>
          <w:sz w:val="32"/>
          <w:szCs w:val="32"/>
          <w:highlight w:val="none"/>
        </w:rPr>
        <w:t>一个自然年内，因供应商原因，在签订煤炭购销合同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lang w:val="en-US" w:eastAsia="zh-CN"/>
        </w:rPr>
        <w:t>包括运输合同</w:t>
      </w:r>
      <w:r>
        <w:rPr>
          <w:rFonts w:hint="eastAsia" w:ascii="仿宋_GB2312" w:hAnsi="仿宋" w:eastAsia="仿宋_GB2312" w:cs="仿宋"/>
          <w:color w:val="auto"/>
          <w:spacing w:val="0"/>
          <w:kern w:val="56"/>
          <w:sz w:val="32"/>
          <w:szCs w:val="32"/>
          <w:highlight w:val="none"/>
          <w:lang w:eastAsia="zh-CN"/>
        </w:rPr>
        <w:t>）</w:t>
      </w:r>
      <w:r>
        <w:rPr>
          <w:rFonts w:hint="eastAsia" w:ascii="仿宋_GB2312" w:hAnsi="仿宋" w:eastAsia="仿宋_GB2312" w:cs="仿宋"/>
          <w:color w:val="auto"/>
          <w:spacing w:val="0"/>
          <w:kern w:val="56"/>
          <w:sz w:val="32"/>
          <w:szCs w:val="32"/>
          <w:highlight w:val="none"/>
        </w:rPr>
        <w:t>后未启动发运累计2次。</w:t>
      </w:r>
    </w:p>
    <w:p w14:paraId="4CB55A30">
      <w:pPr>
        <w:numPr>
          <w:ilvl w:val="-1"/>
          <w:numId w:val="0"/>
        </w:numPr>
        <w:shd w:val="clear"/>
        <w:tabs>
          <w:tab w:val="left" w:pos="1800"/>
        </w:tabs>
        <w:spacing w:beforeLines="0" w:afterLines="0" w:line="560" w:lineRule="exact"/>
        <w:ind w:firstLine="640" w:firstLineChars="200"/>
        <w:rPr>
          <w:rFonts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3. 关联供应商</w:t>
      </w:r>
      <w:r>
        <w:rPr>
          <w:rFonts w:hint="eastAsia" w:ascii="仿宋_GB2312" w:hAnsi="仿宋" w:eastAsia="仿宋_GB2312" w:cs="仿宋"/>
          <w:color w:val="auto"/>
          <w:spacing w:val="0"/>
          <w:kern w:val="56"/>
          <w:sz w:val="32"/>
          <w:szCs w:val="32"/>
          <w:highlight w:val="none"/>
        </w:rPr>
        <w:t>参与同一竞价</w:t>
      </w:r>
      <w:r>
        <w:rPr>
          <w:rFonts w:hint="eastAsia" w:ascii="仿宋_GB2312" w:hAnsi="仿宋" w:eastAsia="仿宋_GB2312" w:cs="仿宋"/>
          <w:color w:val="auto"/>
          <w:spacing w:val="0"/>
          <w:kern w:val="56"/>
          <w:sz w:val="32"/>
          <w:szCs w:val="32"/>
          <w:highlight w:val="none"/>
          <w:lang w:val="en-US" w:eastAsia="zh-CN"/>
        </w:rPr>
        <w:t>2</w:t>
      </w:r>
      <w:r>
        <w:rPr>
          <w:rFonts w:hint="eastAsia" w:ascii="仿宋_GB2312" w:hAnsi="仿宋" w:eastAsia="仿宋_GB2312" w:cs="仿宋"/>
          <w:color w:val="auto"/>
          <w:spacing w:val="0"/>
          <w:kern w:val="56"/>
          <w:sz w:val="32"/>
          <w:szCs w:val="32"/>
          <w:highlight w:val="none"/>
        </w:rPr>
        <w:t>次。</w:t>
      </w:r>
    </w:p>
    <w:p w14:paraId="54AF9D5A">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4. </w:t>
      </w:r>
      <w:r>
        <w:rPr>
          <w:rFonts w:hint="eastAsia" w:ascii="仿宋_GB2312" w:hAnsi="仿宋" w:eastAsia="仿宋_GB2312" w:cs="仿宋"/>
          <w:color w:val="auto"/>
          <w:spacing w:val="0"/>
          <w:kern w:val="56"/>
          <w:sz w:val="32"/>
          <w:szCs w:val="32"/>
          <w:highlight w:val="none"/>
        </w:rPr>
        <w:t>单一供应商在同一竞价与其他供应商使用相同IP报价累计2次。</w:t>
      </w:r>
    </w:p>
    <w:p w14:paraId="1287C73F">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5. </w:t>
      </w:r>
      <w:r>
        <w:rPr>
          <w:rFonts w:hint="eastAsia" w:ascii="仿宋_GB2312" w:hAnsi="仿宋" w:eastAsia="仿宋_GB2312" w:cs="仿宋"/>
          <w:color w:val="auto"/>
          <w:spacing w:val="0"/>
          <w:kern w:val="56"/>
          <w:sz w:val="32"/>
          <w:szCs w:val="32"/>
          <w:highlight w:val="none"/>
        </w:rPr>
        <w:t>资质材料弄虚作假，采用欺骗手段获得准入资格。</w:t>
      </w:r>
    </w:p>
    <w:p w14:paraId="0D225EBA">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6. </w:t>
      </w:r>
      <w:r>
        <w:rPr>
          <w:rFonts w:hint="eastAsia" w:ascii="仿宋_GB2312" w:hAnsi="仿宋" w:eastAsia="仿宋_GB2312" w:cs="仿宋"/>
          <w:color w:val="auto"/>
          <w:spacing w:val="0"/>
          <w:kern w:val="56"/>
          <w:sz w:val="32"/>
          <w:szCs w:val="32"/>
          <w:highlight w:val="none"/>
        </w:rPr>
        <w:t>出现拉拢腐化有关工作人员，干扰验收工作等问题。</w:t>
      </w:r>
    </w:p>
    <w:p w14:paraId="40B70825">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7. </w:t>
      </w:r>
      <w:r>
        <w:rPr>
          <w:rFonts w:hint="eastAsia" w:ascii="仿宋_GB2312" w:hAnsi="仿宋" w:eastAsia="仿宋_GB2312" w:cs="仿宋"/>
          <w:color w:val="auto"/>
          <w:spacing w:val="0"/>
          <w:kern w:val="56"/>
          <w:sz w:val="32"/>
          <w:szCs w:val="32"/>
          <w:highlight w:val="none"/>
        </w:rPr>
        <w:t>违反相关法律法规，贿赂、威胁或恐吓相关人员。</w:t>
      </w:r>
    </w:p>
    <w:p w14:paraId="29970116">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8. </w:t>
      </w:r>
      <w:r>
        <w:rPr>
          <w:rFonts w:hint="eastAsia" w:ascii="仿宋_GB2312" w:hAnsi="仿宋" w:eastAsia="仿宋_GB2312" w:cs="仿宋"/>
          <w:color w:val="auto"/>
          <w:spacing w:val="0"/>
          <w:kern w:val="56"/>
          <w:sz w:val="32"/>
          <w:szCs w:val="32"/>
          <w:highlight w:val="none"/>
        </w:rPr>
        <w:t>违反商业道德，发生掺杂使假行为，且情节较严重。</w:t>
      </w:r>
    </w:p>
    <w:p w14:paraId="673F30DA">
      <w:pPr>
        <w:shd w:val="clear"/>
        <w:tabs>
          <w:tab w:val="left" w:pos="1800"/>
        </w:tabs>
        <w:spacing w:beforeLines="0" w:afterLines="0" w:line="560" w:lineRule="exact"/>
        <w:ind w:firstLine="640" w:firstLineChars="200"/>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9. </w:t>
      </w:r>
      <w:r>
        <w:rPr>
          <w:rFonts w:hint="eastAsia" w:ascii="仿宋_GB2312" w:hAnsi="仿宋" w:eastAsia="仿宋_GB2312" w:cs="仿宋"/>
          <w:color w:val="auto"/>
          <w:spacing w:val="0"/>
          <w:kern w:val="56"/>
          <w:sz w:val="32"/>
          <w:szCs w:val="32"/>
          <w:highlight w:val="none"/>
        </w:rPr>
        <w:t>欺行霸市、串通其他电煤供应商，扰乱市场秩序。</w:t>
      </w:r>
    </w:p>
    <w:p w14:paraId="1D9304BB">
      <w:pPr>
        <w:keepNext w:val="0"/>
        <w:keepLines w:val="0"/>
        <w:pageBreakBefore w:val="0"/>
        <w:widowControl/>
        <w:shd w:val="clear"/>
        <w:tabs>
          <w:tab w:val="left" w:pos="1800"/>
        </w:tabs>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 w:eastAsia="仿宋_GB2312" w:cs="仿宋"/>
          <w:color w:val="auto"/>
          <w:spacing w:val="0"/>
          <w:kern w:val="56"/>
          <w:sz w:val="32"/>
          <w:szCs w:val="32"/>
          <w:highlight w:val="none"/>
        </w:rPr>
      </w:pPr>
      <w:r>
        <w:rPr>
          <w:rFonts w:hint="eastAsia" w:ascii="仿宋_GB2312" w:hAnsi="仿宋" w:eastAsia="仿宋_GB2312" w:cs="仿宋"/>
          <w:color w:val="auto"/>
          <w:spacing w:val="0"/>
          <w:kern w:val="56"/>
          <w:sz w:val="32"/>
          <w:szCs w:val="32"/>
          <w:highlight w:val="none"/>
          <w:lang w:val="en-US" w:eastAsia="zh-CN"/>
        </w:rPr>
        <w:t xml:space="preserve">10. </w:t>
      </w:r>
      <w:r>
        <w:rPr>
          <w:rFonts w:hint="eastAsia" w:ascii="仿宋_GB2312" w:hAnsi="仿宋" w:eastAsia="仿宋_GB2312" w:cs="仿宋"/>
          <w:color w:val="auto"/>
          <w:spacing w:val="0"/>
          <w:kern w:val="56"/>
          <w:sz w:val="32"/>
          <w:szCs w:val="32"/>
          <w:highlight w:val="none"/>
        </w:rPr>
        <w:t>发生其他违法或不诚信行为，给用煤单位造成较大损失</w:t>
      </w:r>
      <w:r>
        <w:rPr>
          <w:rFonts w:hint="eastAsia" w:ascii="仿宋_GB2312" w:hAnsi="仿宋" w:eastAsia="仿宋_GB2312" w:cs="仿宋"/>
          <w:color w:val="auto"/>
          <w:spacing w:val="0"/>
          <w:kern w:val="56"/>
          <w:sz w:val="32"/>
          <w:szCs w:val="32"/>
          <w:highlight w:val="none"/>
          <w:lang w:eastAsia="zh-CN"/>
        </w:rPr>
        <w:t>。</w:t>
      </w:r>
    </w:p>
    <w:p w14:paraId="12253A9E">
      <w:pPr>
        <w:keepNext w:val="0"/>
        <w:keepLines w:val="0"/>
        <w:pageBreakBefore w:val="0"/>
        <w:widowControl/>
        <w:numPr>
          <w:ilvl w:val="-1"/>
          <w:numId w:val="0"/>
        </w:numPr>
        <w:shd w:val="clear"/>
        <w:tabs>
          <w:tab w:val="left" w:pos="1800"/>
        </w:tabs>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 w:eastAsia="仿宋_GB2312" w:cs="仿宋"/>
          <w:color w:val="auto"/>
          <w:spacing w:val="0"/>
          <w:kern w:val="56"/>
          <w:sz w:val="32"/>
          <w:szCs w:val="32"/>
          <w:highlight w:val="none"/>
          <w:lang w:val="en-US" w:eastAsia="zh-CN"/>
        </w:rPr>
      </w:pPr>
      <w:r>
        <w:rPr>
          <w:rFonts w:hint="eastAsia" w:ascii="仿宋_GB2312" w:hAnsi="仿宋" w:eastAsia="仿宋_GB2312" w:cs="仿宋"/>
          <w:color w:val="auto"/>
          <w:spacing w:val="0"/>
          <w:kern w:val="56"/>
          <w:sz w:val="32"/>
          <w:szCs w:val="32"/>
          <w:highlight w:val="none"/>
          <w:lang w:val="en-US" w:eastAsia="zh-CN"/>
        </w:rPr>
        <w:t>11. 供应的煤炭出现分层、包芯、铺底、分段等情况，认定为掺假使假的。</w:t>
      </w:r>
    </w:p>
    <w:p w14:paraId="0943877C">
      <w:pPr>
        <w:keepNext w:val="0"/>
        <w:keepLines w:val="0"/>
        <w:pageBreakBefore w:val="0"/>
        <w:widowControl/>
        <w:numPr>
          <w:ilvl w:val="-1"/>
          <w:numId w:val="0"/>
        </w:numPr>
        <w:shd w:val="clear"/>
        <w:tabs>
          <w:tab w:val="left" w:pos="1800"/>
        </w:tabs>
        <w:kinsoku/>
        <w:wordWrap/>
        <w:overflowPunct/>
        <w:topLinePunct w:val="0"/>
        <w:autoSpaceDE/>
        <w:autoSpaceDN/>
        <w:bidi w:val="0"/>
        <w:adjustRightInd/>
        <w:snapToGrid/>
        <w:spacing w:before="0" w:beforeLines="0" w:after="0" w:afterLines="0" w:line="560" w:lineRule="exact"/>
        <w:ind w:right="0" w:rightChars="0" w:firstLine="640" w:firstLineChars="200"/>
        <w:jc w:val="left"/>
        <w:textAlignment w:val="auto"/>
        <w:outlineLvl w:val="9"/>
        <w:rPr>
          <w:rFonts w:hint="eastAsia" w:ascii="仿宋_GB2312" w:hAnsi="仿宋" w:eastAsia="仿宋_GB2312" w:cs="仿宋"/>
          <w:color w:val="auto"/>
          <w:spacing w:val="0"/>
          <w:kern w:val="56"/>
          <w:sz w:val="32"/>
          <w:szCs w:val="32"/>
          <w:highlight w:val="none"/>
          <w:lang w:val="en-US" w:eastAsia="zh-CN"/>
        </w:rPr>
      </w:pPr>
      <w:r>
        <w:rPr>
          <w:rFonts w:hint="eastAsia" w:ascii="仿宋_GB2312" w:hAnsi="仿宋" w:eastAsia="仿宋_GB2312" w:cs="仿宋"/>
          <w:color w:val="auto"/>
          <w:spacing w:val="0"/>
          <w:kern w:val="56"/>
          <w:sz w:val="32"/>
          <w:szCs w:val="32"/>
          <w:highlight w:val="none"/>
          <w:lang w:val="en-US" w:eastAsia="zh-CN"/>
        </w:rPr>
        <w:t>12. 已注册电煤竞价平台的供应商与永久退出的供应商</w:t>
      </w:r>
      <w:r>
        <w:rPr>
          <w:rFonts w:hint="default" w:ascii="仿宋_GB2312" w:hAnsi="仿宋" w:eastAsia="仿宋_GB2312" w:cs="仿宋"/>
          <w:bCs/>
          <w:color w:val="auto"/>
          <w:spacing w:val="0"/>
          <w:kern w:val="2"/>
          <w:sz w:val="32"/>
          <w:szCs w:val="32"/>
          <w:highlight w:val="none"/>
          <w:lang w:bidi="en-US"/>
        </w:rPr>
        <w:t>企业法定代表人或被授权人</w:t>
      </w:r>
      <w:r>
        <w:rPr>
          <w:rFonts w:hint="eastAsia" w:ascii="仿宋_GB2312" w:hAnsi="仿宋" w:eastAsia="仿宋_GB2312" w:cs="仿宋"/>
          <w:color w:val="auto"/>
          <w:spacing w:val="0"/>
          <w:kern w:val="56"/>
          <w:sz w:val="32"/>
          <w:szCs w:val="32"/>
          <w:highlight w:val="none"/>
          <w:lang w:val="en-US" w:eastAsia="zh-CN"/>
        </w:rPr>
        <w:t>有关联关系的。</w:t>
      </w:r>
    </w:p>
    <w:p w14:paraId="6277CDED">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3" w:firstLineChars="200"/>
        <w:jc w:val="both"/>
        <w:textAlignment w:val="auto"/>
        <w:rPr>
          <w:rFonts w:ascii="黑体" w:hAnsi="黑体" w:eastAsia="黑体"/>
          <w:b/>
          <w:bCs/>
          <w:color w:val="auto"/>
          <w:spacing w:val="0"/>
          <w:sz w:val="32"/>
          <w:highlight w:val="none"/>
          <w:lang w:val="en-US"/>
        </w:rPr>
      </w:pPr>
      <w:r>
        <w:rPr>
          <w:rFonts w:hint="eastAsia" w:ascii="黑体" w:hAnsi="黑体" w:eastAsia="黑体"/>
          <w:b/>
          <w:bCs/>
          <w:color w:val="auto"/>
          <w:spacing w:val="0"/>
          <w:sz w:val="32"/>
          <w:highlight w:val="none"/>
          <w:lang w:val="en-US"/>
        </w:rPr>
        <w:t>十</w:t>
      </w:r>
      <w:r>
        <w:rPr>
          <w:rFonts w:hint="eastAsia" w:ascii="黑体" w:hAnsi="黑体" w:eastAsia="黑体"/>
          <w:b/>
          <w:bCs/>
          <w:color w:val="auto"/>
          <w:spacing w:val="0"/>
          <w:sz w:val="32"/>
          <w:highlight w:val="none"/>
          <w:lang w:val="en-US" w:eastAsia="zh-CN"/>
        </w:rPr>
        <w:t>一、</w:t>
      </w:r>
      <w:r>
        <w:rPr>
          <w:rFonts w:hint="eastAsia" w:ascii="黑体" w:hAnsi="黑体" w:eastAsia="黑体"/>
          <w:b/>
          <w:bCs/>
          <w:color w:val="auto"/>
          <w:spacing w:val="0"/>
          <w:sz w:val="32"/>
          <w:highlight w:val="none"/>
          <w:lang w:val="en-US"/>
        </w:rPr>
        <w:t>其他要求</w:t>
      </w:r>
    </w:p>
    <w:p w14:paraId="2302F105">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ascii="仿宋_GB2312" w:eastAsia="仿宋_GB2312"/>
          <w:color w:val="auto"/>
          <w:spacing w:val="0"/>
          <w:sz w:val="32"/>
          <w:highlight w:val="none"/>
        </w:rPr>
      </w:pPr>
      <w:r>
        <w:rPr>
          <w:rFonts w:hint="eastAsia" w:ascii="仿宋_GB2312" w:eastAsia="仿宋_GB2312"/>
          <w:color w:val="auto"/>
          <w:spacing w:val="0"/>
          <w:sz w:val="32"/>
          <w:highlight w:val="none"/>
        </w:rPr>
        <w:t>（一）供应商在报价时，应充分考虑各种因素变化的风险，价格在</w:t>
      </w:r>
      <w:r>
        <w:rPr>
          <w:rFonts w:hint="eastAsia" w:ascii="仿宋_GB2312" w:eastAsia="仿宋_GB2312"/>
          <w:color w:val="auto"/>
          <w:spacing w:val="0"/>
          <w:sz w:val="32"/>
          <w:highlight w:val="none"/>
          <w:lang w:val="en-US"/>
        </w:rPr>
        <w:t>合同</w:t>
      </w:r>
      <w:r>
        <w:rPr>
          <w:rFonts w:hint="eastAsia" w:ascii="仿宋_GB2312" w:eastAsia="仿宋_GB2312"/>
          <w:color w:val="auto"/>
          <w:spacing w:val="0"/>
          <w:sz w:val="32"/>
          <w:highlight w:val="none"/>
        </w:rPr>
        <w:t>执行期内不得因</w:t>
      </w:r>
      <w:r>
        <w:rPr>
          <w:rFonts w:hint="eastAsia" w:ascii="仿宋_GB2312" w:eastAsia="仿宋_GB2312"/>
          <w:color w:val="auto"/>
          <w:spacing w:val="0"/>
          <w:sz w:val="32"/>
          <w:highlight w:val="none"/>
          <w:lang w:val="en-US" w:eastAsia="zh-CN"/>
        </w:rPr>
        <w:t>运输</w:t>
      </w:r>
      <w:r>
        <w:rPr>
          <w:rFonts w:hint="eastAsia" w:ascii="仿宋_GB2312" w:eastAsia="仿宋_GB2312"/>
          <w:color w:val="auto"/>
          <w:spacing w:val="0"/>
          <w:sz w:val="32"/>
          <w:highlight w:val="none"/>
        </w:rPr>
        <w:t>市场变化而变动。</w:t>
      </w:r>
      <w:r>
        <w:rPr>
          <w:rFonts w:hint="eastAsia" w:ascii="仿宋_GB2312" w:eastAsia="仿宋_GB2312"/>
          <w:color w:val="auto"/>
          <w:spacing w:val="0"/>
          <w:sz w:val="32"/>
          <w:highlight w:val="none"/>
          <w:lang w:val="en-US" w:eastAsia="zh-CN"/>
        </w:rPr>
        <w:t>中价单位承担</w:t>
      </w:r>
      <w:r>
        <w:rPr>
          <w:rFonts w:hint="eastAsia" w:ascii="仿宋_GB2312" w:eastAsia="仿宋_GB2312"/>
          <w:color w:val="auto"/>
          <w:spacing w:val="0"/>
          <w:sz w:val="32"/>
          <w:highlight w:val="none"/>
        </w:rPr>
        <w:t>履行承运义务期间的全部</w:t>
      </w:r>
      <w:r>
        <w:rPr>
          <w:rFonts w:hint="eastAsia" w:ascii="仿宋_GB2312" w:eastAsia="仿宋_GB2312"/>
          <w:color w:val="auto"/>
          <w:spacing w:val="0"/>
          <w:sz w:val="32"/>
          <w:highlight w:val="none"/>
          <w:lang w:val="en-US" w:eastAsia="zh-CN"/>
        </w:rPr>
        <w:t>风险、</w:t>
      </w:r>
      <w:r>
        <w:rPr>
          <w:rFonts w:hint="eastAsia" w:ascii="仿宋_GB2312" w:eastAsia="仿宋_GB2312"/>
          <w:color w:val="auto"/>
          <w:spacing w:val="0"/>
          <w:sz w:val="32"/>
          <w:highlight w:val="none"/>
        </w:rPr>
        <w:t>责任和义务。</w:t>
      </w:r>
    </w:p>
    <w:p w14:paraId="0A79FBF5">
      <w:pPr>
        <w:keepNext w:val="0"/>
        <w:keepLines w:val="0"/>
        <w:pageBreakBefore w:val="0"/>
        <w:widowControl w:val="0"/>
        <w:tabs>
          <w:tab w:val="left" w:pos="1279"/>
        </w:tabs>
        <w:kinsoku/>
        <w:wordWrap/>
        <w:overflowPunct/>
        <w:topLinePunct w:val="0"/>
        <w:autoSpaceDE w:val="0"/>
        <w:autoSpaceDN w:val="0"/>
        <w:bidi w:val="0"/>
        <w:adjustRightInd/>
        <w:snapToGrid/>
        <w:spacing w:line="560" w:lineRule="exact"/>
        <w:ind w:firstLine="640" w:firstLineChars="200"/>
        <w:jc w:val="both"/>
        <w:textAlignment w:val="auto"/>
        <w:rPr>
          <w:rFonts w:hint="eastAsia" w:ascii="仿宋_GB2312" w:hAnsi="仿宋_GB2312" w:eastAsia="仿宋_GB2312" w:cs="仿宋_GB2312"/>
          <w:color w:val="auto"/>
          <w:spacing w:val="0"/>
          <w:sz w:val="32"/>
          <w:szCs w:val="32"/>
          <w:highlight w:val="none"/>
        </w:rPr>
      </w:pPr>
      <w:r>
        <w:rPr>
          <w:rFonts w:hint="eastAsia" w:ascii="仿宋_GB2312" w:eastAsia="仿宋_GB2312"/>
          <w:color w:val="auto"/>
          <w:spacing w:val="0"/>
          <w:sz w:val="32"/>
          <w:highlight w:val="none"/>
        </w:rPr>
        <w:t>（</w:t>
      </w:r>
      <w:r>
        <w:rPr>
          <w:rFonts w:hint="eastAsia" w:ascii="仿宋_GB2312" w:eastAsia="仿宋_GB2312"/>
          <w:color w:val="auto"/>
          <w:spacing w:val="0"/>
          <w:sz w:val="32"/>
          <w:highlight w:val="none"/>
          <w:lang w:val="en-US" w:eastAsia="zh-CN"/>
        </w:rPr>
        <w:t>二</w:t>
      </w:r>
      <w:r>
        <w:rPr>
          <w:rFonts w:hint="eastAsia" w:ascii="仿宋_GB2312" w:eastAsia="仿宋_GB2312"/>
          <w:color w:val="auto"/>
          <w:spacing w:val="0"/>
          <w:sz w:val="32"/>
          <w:highlight w:val="none"/>
        </w:rPr>
        <w:t>）</w:t>
      </w:r>
      <w:r>
        <w:rPr>
          <w:rFonts w:hint="eastAsia" w:ascii="仿宋_GB2312" w:hAnsi="仿宋_GB2312" w:eastAsia="仿宋_GB2312" w:cs="仿宋_GB2312"/>
          <w:bCs w:val="0"/>
          <w:color w:val="auto"/>
          <w:spacing w:val="0"/>
          <w:sz w:val="32"/>
          <w:szCs w:val="32"/>
          <w:highlight w:val="none"/>
        </w:rPr>
        <w:t>竞价文件及相关制度的解释权归</w:t>
      </w:r>
      <w:r>
        <w:rPr>
          <w:rFonts w:hint="eastAsia" w:ascii="仿宋_GB2312" w:hAnsi="仿宋_GB2312" w:eastAsia="仿宋_GB2312" w:cs="仿宋_GB2312"/>
          <w:color w:val="auto"/>
          <w:spacing w:val="0"/>
          <w:sz w:val="32"/>
          <w:szCs w:val="32"/>
          <w:highlight w:val="none"/>
        </w:rPr>
        <w:t>煤业物资公司。煤业物资公司</w:t>
      </w:r>
      <w:r>
        <w:rPr>
          <w:rFonts w:ascii="仿宋_GB2312" w:eastAsia="仿宋_GB2312"/>
          <w:color w:val="auto"/>
          <w:spacing w:val="0"/>
          <w:sz w:val="32"/>
          <w:highlight w:val="none"/>
        </w:rPr>
        <w:t>拥有修改</w:t>
      </w:r>
      <w:r>
        <w:rPr>
          <w:rFonts w:hint="eastAsia" w:ascii="仿宋_GB2312" w:eastAsia="仿宋_GB2312"/>
          <w:color w:val="auto"/>
          <w:spacing w:val="0"/>
          <w:sz w:val="32"/>
          <w:highlight w:val="none"/>
          <w:lang w:eastAsia="zh-CN"/>
        </w:rPr>
        <w:t>、</w:t>
      </w:r>
      <w:r>
        <w:rPr>
          <w:rFonts w:hint="eastAsia" w:ascii="仿宋_GB2312" w:hAnsi="仿宋_GB2312" w:eastAsia="仿宋_GB2312" w:cs="仿宋_GB2312"/>
          <w:color w:val="auto"/>
          <w:spacing w:val="0"/>
          <w:sz w:val="32"/>
          <w:szCs w:val="32"/>
          <w:highlight w:val="none"/>
        </w:rPr>
        <w:t>澄清竞价文件的权利，并将修改部分以书面形式通知所有潜在竞价单位。当竞价文件修改</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澄清在同一内容的表达上不一致时以最后发出的竞价文件为准。</w:t>
      </w:r>
    </w:p>
    <w:p w14:paraId="28492512">
      <w:pPr>
        <w:tabs>
          <w:tab w:val="left" w:pos="1279"/>
        </w:tabs>
        <w:autoSpaceDE w:val="0"/>
        <w:autoSpaceDN w:val="0"/>
        <w:spacing w:line="560" w:lineRule="exact"/>
        <w:ind w:firstLine="640" w:firstLineChars="200"/>
        <w:jc w:val="both"/>
        <w:rPr>
          <w:rFonts w:hint="eastAsia" w:ascii="仿宋_GB2312" w:hAnsi="仿宋_GB2312" w:eastAsia="仿宋_GB2312" w:cs="仿宋_GB2312"/>
          <w:color w:val="auto"/>
          <w:spacing w:val="0"/>
          <w:sz w:val="32"/>
          <w:szCs w:val="32"/>
          <w:highlight w:val="none"/>
        </w:rPr>
      </w:pPr>
      <w:r>
        <w:rPr>
          <w:rFonts w:hint="eastAsia" w:ascii="仿宋_GB2312" w:eastAsia="仿宋_GB2312"/>
          <w:color w:val="auto"/>
          <w:spacing w:val="0"/>
          <w:sz w:val="32"/>
          <w:highlight w:val="none"/>
        </w:rPr>
        <w:t>（</w:t>
      </w:r>
      <w:r>
        <w:rPr>
          <w:rFonts w:hint="eastAsia" w:ascii="仿宋_GB2312" w:eastAsia="仿宋_GB2312"/>
          <w:color w:val="auto"/>
          <w:spacing w:val="0"/>
          <w:sz w:val="32"/>
          <w:highlight w:val="none"/>
          <w:lang w:val="en-US" w:eastAsia="zh-CN"/>
        </w:rPr>
        <w:t>三</w:t>
      </w:r>
      <w:r>
        <w:rPr>
          <w:rFonts w:hint="eastAsia" w:ascii="仿宋_GB2312" w:eastAsia="仿宋_GB2312"/>
          <w:color w:val="auto"/>
          <w:spacing w:val="0"/>
          <w:sz w:val="32"/>
          <w:highlight w:val="none"/>
        </w:rPr>
        <w:t>）</w:t>
      </w:r>
      <w:r>
        <w:rPr>
          <w:rFonts w:hint="eastAsia" w:ascii="仿宋_GB2312" w:hAnsi="仿宋_GB2312" w:eastAsia="仿宋_GB2312" w:cs="仿宋_GB2312"/>
          <w:color w:val="auto"/>
          <w:spacing w:val="0"/>
          <w:sz w:val="32"/>
          <w:szCs w:val="32"/>
          <w:highlight w:val="none"/>
        </w:rPr>
        <w:t>如在竞价过程中发现有违规违纪现象</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可拨打电话</w:t>
      </w:r>
      <w:r>
        <w:rPr>
          <w:rFonts w:hint="eastAsia" w:ascii="仿宋_GB2312" w:hAnsi="仿宋_GB2312" w:eastAsia="仿宋_GB2312" w:cs="仿宋_GB2312"/>
          <w:color w:val="auto"/>
          <w:spacing w:val="0"/>
          <w:sz w:val="32"/>
          <w:szCs w:val="32"/>
          <w:highlight w:val="none"/>
          <w:lang w:eastAsia="zh-CN"/>
        </w:rPr>
        <w:t>举报或进行</w:t>
      </w:r>
      <w:r>
        <w:rPr>
          <w:rFonts w:hint="eastAsia" w:ascii="仿宋_GB2312" w:hAnsi="仿宋_GB2312" w:eastAsia="仿宋_GB2312" w:cs="仿宋_GB2312"/>
          <w:color w:val="auto"/>
          <w:spacing w:val="0"/>
          <w:sz w:val="32"/>
          <w:szCs w:val="32"/>
          <w:highlight w:val="none"/>
        </w:rPr>
        <w:t>信访，共同监督打造诚信</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公平</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公正</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公开</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竞争有序的外部市场环境，建立安全</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稳定</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共赢的供需合作关系。举报电话：0991-4882153，举报邮箱：</w:t>
      </w:r>
      <w:r>
        <w:rPr>
          <w:rFonts w:hint="eastAsia" w:ascii="仿宋_GB2312" w:hAnsi="仿宋_GB2312" w:eastAsia="仿宋_GB2312" w:cs="仿宋_GB2312"/>
          <w:bCs w:val="0"/>
          <w:color w:val="auto"/>
          <w:spacing w:val="0"/>
          <w:sz w:val="32"/>
          <w:szCs w:val="32"/>
          <w:highlight w:val="none"/>
        </w:rPr>
        <w:t>xjmywz-jdb@chd.com.cn</w:t>
      </w:r>
      <w:r>
        <w:rPr>
          <w:rFonts w:hint="eastAsia" w:ascii="仿宋_GB2312" w:hAnsi="仿宋_GB2312" w:eastAsia="仿宋_GB2312" w:cs="仿宋_GB2312"/>
          <w:color w:val="auto"/>
          <w:spacing w:val="0"/>
          <w:sz w:val="32"/>
          <w:szCs w:val="32"/>
          <w:highlight w:val="none"/>
        </w:rPr>
        <w:t>，信访举报箱位置：煤业物资公司大门左手处</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办公楼一楼与二楼楼梯间</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二楼与三楼楼梯间</w:t>
      </w:r>
      <w:r>
        <w:rPr>
          <w:rFonts w:hint="eastAsia" w:ascii="仿宋_GB2312" w:hAnsi="仿宋_GB2312" w:eastAsia="仿宋_GB2312" w:cs="仿宋_GB2312"/>
          <w:color w:val="auto"/>
          <w:spacing w:val="0"/>
          <w:sz w:val="32"/>
          <w:szCs w:val="32"/>
          <w:highlight w:val="none"/>
          <w:lang w:eastAsia="zh-CN"/>
        </w:rPr>
        <w:t>。该举报渠道</w:t>
      </w:r>
      <w:r>
        <w:rPr>
          <w:rFonts w:hint="eastAsia" w:ascii="仿宋_GB2312" w:hAnsi="仿宋_GB2312" w:eastAsia="仿宋_GB2312" w:cs="仿宋_GB2312"/>
          <w:color w:val="auto"/>
          <w:spacing w:val="0"/>
          <w:sz w:val="32"/>
          <w:szCs w:val="32"/>
          <w:highlight w:val="none"/>
        </w:rPr>
        <w:t>专门受理煤业物资公司党员</w:t>
      </w:r>
      <w:r>
        <w:rPr>
          <w:rFonts w:hint="eastAsia" w:ascii="仿宋_GB2312" w:hAnsi="仿宋_GB2312" w:eastAsia="仿宋_GB2312" w:cs="仿宋_GB2312"/>
          <w:color w:val="auto"/>
          <w:spacing w:val="0"/>
          <w:sz w:val="32"/>
          <w:szCs w:val="32"/>
          <w:highlight w:val="none"/>
          <w:lang w:eastAsia="zh-CN"/>
        </w:rPr>
        <w:t>、</w:t>
      </w:r>
      <w:r>
        <w:rPr>
          <w:rFonts w:hint="eastAsia" w:ascii="仿宋_GB2312" w:hAnsi="仿宋_GB2312" w:eastAsia="仿宋_GB2312" w:cs="仿宋_GB2312"/>
          <w:color w:val="auto"/>
          <w:spacing w:val="0"/>
          <w:sz w:val="32"/>
          <w:szCs w:val="32"/>
          <w:highlight w:val="none"/>
        </w:rPr>
        <w:t>员工涉嫌违纪违规行为的举报投诉。</w:t>
      </w:r>
    </w:p>
    <w:p w14:paraId="09CCF357">
      <w:pPr>
        <w:tabs>
          <w:tab w:val="left" w:pos="1279"/>
        </w:tabs>
        <w:autoSpaceDE w:val="0"/>
        <w:autoSpaceDN w:val="0"/>
        <w:ind w:firstLine="0" w:firstLineChars="0"/>
        <w:jc w:val="left"/>
        <w:rPr>
          <w:rFonts w:hint="eastAsia" w:ascii="仿宋_GB2312" w:hAnsi="仿宋_GB2312" w:eastAsia="仿宋_GB2312" w:cs="仿宋_GB2312"/>
          <w:b/>
          <w:bCs/>
          <w:color w:val="auto"/>
          <w:spacing w:val="-9"/>
          <w:sz w:val="32"/>
          <w:szCs w:val="32"/>
          <w:highlight w:val="none"/>
          <w:lang w:val="en-US" w:eastAsia="zh-CN"/>
        </w:rPr>
      </w:pPr>
    </w:p>
    <w:p w14:paraId="4C38410A">
      <w:pPr>
        <w:tabs>
          <w:tab w:val="left" w:pos="1279"/>
        </w:tabs>
        <w:autoSpaceDE w:val="0"/>
        <w:autoSpaceDN w:val="0"/>
        <w:ind w:firstLine="0" w:firstLineChars="0"/>
        <w:jc w:val="left"/>
        <w:rPr>
          <w:rFonts w:hint="default" w:ascii="仿宋_GB2312" w:hAnsi="仿宋_GB2312" w:eastAsia="仿宋_GB2312" w:cs="仿宋_GB2312"/>
          <w:b/>
          <w:bCs/>
          <w:color w:val="auto"/>
          <w:spacing w:val="-9"/>
          <w:sz w:val="32"/>
          <w:szCs w:val="32"/>
          <w:highlight w:val="none"/>
          <w:lang w:val="en-US"/>
        </w:rPr>
      </w:pPr>
      <w:r>
        <w:rPr>
          <w:rFonts w:hint="eastAsia" w:ascii="仿宋_GB2312" w:hAnsi="仿宋_GB2312" w:eastAsia="仿宋_GB2312" w:cs="仿宋_GB2312"/>
          <w:b/>
          <w:bCs/>
          <w:color w:val="auto"/>
          <w:spacing w:val="-9"/>
          <w:sz w:val="32"/>
          <w:szCs w:val="32"/>
          <w:highlight w:val="none"/>
          <w:lang w:val="en-US" w:eastAsia="zh-CN"/>
        </w:rPr>
        <w:t>煤业物资公司竞价服务</w:t>
      </w:r>
      <w:r>
        <w:rPr>
          <w:rFonts w:hint="eastAsia" w:ascii="仿宋_GB2312" w:hAnsi="仿宋_GB2312" w:eastAsia="仿宋_GB2312" w:cs="仿宋_GB2312"/>
          <w:b/>
          <w:bCs/>
          <w:color w:val="auto"/>
          <w:spacing w:val="-9"/>
          <w:sz w:val="32"/>
          <w:szCs w:val="32"/>
          <w:highlight w:val="none"/>
        </w:rPr>
        <w:t>联系人：</w:t>
      </w:r>
      <w:r>
        <w:rPr>
          <w:rFonts w:hint="eastAsia" w:ascii="仿宋_GB2312" w:hAnsi="仿宋_GB2312" w:eastAsia="仿宋_GB2312" w:cs="仿宋_GB2312"/>
          <w:b w:val="0"/>
          <w:bCs w:val="0"/>
          <w:color w:val="auto"/>
          <w:spacing w:val="-9"/>
          <w:sz w:val="32"/>
          <w:szCs w:val="32"/>
          <w:highlight w:val="none"/>
          <w:lang w:val="en-US" w:eastAsia="zh-CN"/>
        </w:rPr>
        <w:t>陈建东、刘晶</w:t>
      </w:r>
    </w:p>
    <w:p w14:paraId="50D0D434">
      <w:pPr>
        <w:tabs>
          <w:tab w:val="left" w:pos="1279"/>
        </w:tabs>
        <w:autoSpaceDE w:val="0"/>
        <w:autoSpaceDN w:val="0"/>
        <w:ind w:firstLine="0" w:firstLineChars="0"/>
        <w:jc w:val="left"/>
        <w:rPr>
          <w:rFonts w:hint="default" w:ascii="仿宋_GB2312" w:hAnsi="仿宋_GB2312" w:eastAsia="仿宋_GB2312" w:cs="仿宋_GB2312"/>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煤业物资公司联系电话：</w:t>
      </w:r>
      <w:r>
        <w:rPr>
          <w:rFonts w:hint="eastAsia" w:ascii="仿宋_GB2312" w:hAnsi="仿宋_GB2312" w:eastAsia="仿宋_GB2312" w:cs="仿宋_GB2312"/>
          <w:b w:val="0"/>
          <w:bCs w:val="0"/>
          <w:color w:val="auto"/>
          <w:spacing w:val="-9"/>
          <w:sz w:val="32"/>
          <w:szCs w:val="32"/>
          <w:highlight w:val="none"/>
          <w:lang w:val="en-US" w:eastAsia="zh-CN"/>
        </w:rPr>
        <w:t>0991-4882152</w:t>
      </w:r>
    </w:p>
    <w:p w14:paraId="532FE1BB">
      <w:pPr>
        <w:tabs>
          <w:tab w:val="left" w:pos="1279"/>
        </w:tabs>
        <w:autoSpaceDE w:val="0"/>
        <w:autoSpaceDN w:val="0"/>
        <w:spacing w:line="560" w:lineRule="exact"/>
        <w:ind w:firstLine="0" w:firstLineChars="0"/>
        <w:jc w:val="left"/>
        <w:rPr>
          <w:rFonts w:hint="eastAsia" w:ascii="仿宋_GB2312" w:hAnsi="仿宋_GB2312" w:eastAsia="仿宋_GB2312" w:cs="仿宋_GB2312"/>
          <w:b w:val="0"/>
          <w:bCs w:val="0"/>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需求单位</w:t>
      </w:r>
      <w:r>
        <w:rPr>
          <w:rFonts w:hint="eastAsia" w:ascii="仿宋_GB2312" w:hAnsi="仿宋_GB2312" w:eastAsia="仿宋_GB2312" w:cs="仿宋_GB2312"/>
          <w:b/>
          <w:bCs/>
          <w:color w:val="auto"/>
          <w:spacing w:val="-9"/>
          <w:sz w:val="32"/>
          <w:szCs w:val="32"/>
          <w:highlight w:val="none"/>
        </w:rPr>
        <w:t>联系人</w:t>
      </w:r>
      <w:r>
        <w:rPr>
          <w:rFonts w:hint="eastAsia" w:ascii="仿宋_GB2312" w:hAnsi="仿宋_GB2312" w:eastAsia="仿宋_GB2312" w:cs="仿宋_GB2312"/>
          <w:b/>
          <w:bCs/>
          <w:color w:val="auto"/>
          <w:spacing w:val="-9"/>
          <w:sz w:val="32"/>
          <w:szCs w:val="32"/>
          <w:highlight w:val="none"/>
          <w:lang w:eastAsia="zh-CN"/>
        </w:rPr>
        <w:t>：</w:t>
      </w:r>
      <w:r>
        <w:rPr>
          <w:rFonts w:hint="eastAsia" w:ascii="仿宋_GB2312" w:hAnsi="仿宋_GB2312" w:eastAsia="仿宋_GB2312" w:cs="仿宋_GB2312"/>
          <w:b w:val="0"/>
          <w:bCs w:val="0"/>
          <w:color w:val="auto"/>
          <w:spacing w:val="-9"/>
          <w:sz w:val="32"/>
          <w:szCs w:val="32"/>
          <w:highlight w:val="none"/>
          <w:lang w:val="en-US" w:eastAsia="zh-CN"/>
        </w:rPr>
        <w:t>宋永朋</w:t>
      </w:r>
    </w:p>
    <w:p w14:paraId="5DF2C25E">
      <w:pPr>
        <w:tabs>
          <w:tab w:val="left" w:pos="1279"/>
        </w:tabs>
        <w:autoSpaceDE w:val="0"/>
        <w:autoSpaceDN w:val="0"/>
        <w:spacing w:line="560" w:lineRule="exact"/>
        <w:ind w:firstLine="0" w:firstLineChars="0"/>
        <w:jc w:val="left"/>
        <w:rPr>
          <w:rFonts w:hint="eastAsia" w:ascii="仿宋_GB2312" w:hAnsi="仿宋_GB2312" w:eastAsia="仿宋_GB2312" w:cs="仿宋_GB2312"/>
          <w:b w:val="0"/>
          <w:bCs w:val="0"/>
          <w:color w:val="auto"/>
          <w:spacing w:val="-9"/>
          <w:sz w:val="32"/>
          <w:szCs w:val="32"/>
          <w:highlight w:val="none"/>
          <w:lang w:val="en-US" w:eastAsia="zh-CN"/>
        </w:rPr>
      </w:pPr>
      <w:r>
        <w:rPr>
          <w:rFonts w:hint="eastAsia" w:ascii="仿宋_GB2312" w:hAnsi="仿宋_GB2312" w:eastAsia="仿宋_GB2312" w:cs="仿宋_GB2312"/>
          <w:b/>
          <w:bCs/>
          <w:color w:val="auto"/>
          <w:spacing w:val="-9"/>
          <w:sz w:val="32"/>
          <w:szCs w:val="32"/>
          <w:highlight w:val="none"/>
          <w:lang w:val="en-US" w:eastAsia="zh-CN"/>
        </w:rPr>
        <w:t>需求单位联系电话：</w:t>
      </w:r>
      <w:r>
        <w:rPr>
          <w:rFonts w:hint="eastAsia" w:ascii="仿宋_GB2312" w:hAnsi="仿宋_GB2312" w:eastAsia="仿宋_GB2312" w:cs="仿宋_GB2312"/>
          <w:b w:val="0"/>
          <w:bCs w:val="0"/>
          <w:color w:val="auto"/>
          <w:spacing w:val="-9"/>
          <w:sz w:val="32"/>
          <w:szCs w:val="32"/>
          <w:highlight w:val="none"/>
          <w:lang w:val="en-US" w:eastAsia="zh-CN"/>
        </w:rPr>
        <w:t>15026253724</w:t>
      </w:r>
    </w:p>
    <w:p w14:paraId="2D6FE88E">
      <w:pPr>
        <w:pStyle w:val="2"/>
        <w:ind w:left="0" w:leftChars="0" w:firstLine="0" w:firstLineChars="0"/>
        <w:rPr>
          <w:rFonts w:hint="eastAsia" w:eastAsia="宋体"/>
          <w:lang w:val="en-US" w:eastAsia="zh-CN"/>
        </w:rPr>
      </w:pPr>
      <w:r>
        <w:rPr>
          <w:rFonts w:hint="eastAsia" w:eastAsia="宋体"/>
          <w:lang w:val="en-US" w:eastAsia="zh-CN"/>
        </w:rPr>
        <w:drawing>
          <wp:inline distT="0" distB="0" distL="114300" distR="114300">
            <wp:extent cx="5273040" cy="4171950"/>
            <wp:effectExtent l="0" t="0" r="3810" b="0"/>
            <wp:docPr id="4" name="图片 4" descr="4dffdfc907c9bc773af2b39ab86755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4dffdfc907c9bc773af2b39ab8675538"/>
                    <pic:cNvPicPr>
                      <a:picLocks noChangeAspect="1"/>
                    </pic:cNvPicPr>
                  </pic:nvPicPr>
                  <pic:blipFill>
                    <a:blip r:embed="rId5"/>
                    <a:stretch>
                      <a:fillRect/>
                    </a:stretch>
                  </pic:blipFill>
                  <pic:spPr>
                    <a:xfrm>
                      <a:off x="0" y="0"/>
                      <a:ext cx="5273040" cy="4171950"/>
                    </a:xfrm>
                    <a:prstGeom prst="rect">
                      <a:avLst/>
                    </a:prstGeom>
                  </pic:spPr>
                </pic:pic>
              </a:graphicData>
            </a:graphic>
          </wp:inline>
        </w:drawing>
      </w:r>
    </w:p>
    <w:sectPr>
      <w:footerReference r:id="rId3"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decorative"/>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B05C66">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C6AC4">
                          <w:pPr>
                            <w:pStyle w:val="5"/>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17C6AC4">
                    <w:pPr>
                      <w:pStyle w:val="5"/>
                      <w:rPr>
                        <w:sz w:val="24"/>
                        <w:szCs w:val="40"/>
                      </w:rPr>
                    </w:pPr>
                    <w:r>
                      <w:rPr>
                        <w:sz w:val="24"/>
                        <w:szCs w:val="40"/>
                      </w:rPr>
                      <w:t xml:space="preserve">— </w:t>
                    </w:r>
                    <w:r>
                      <w:rPr>
                        <w:sz w:val="24"/>
                        <w:szCs w:val="40"/>
                      </w:rPr>
                      <w:fldChar w:fldCharType="begin"/>
                    </w:r>
                    <w:r>
                      <w:rPr>
                        <w:sz w:val="24"/>
                        <w:szCs w:val="40"/>
                      </w:rPr>
                      <w:instrText xml:space="preserve"> PAGE  \* MERGEFORMAT </w:instrText>
                    </w:r>
                    <w:r>
                      <w:rPr>
                        <w:sz w:val="24"/>
                        <w:szCs w:val="40"/>
                      </w:rPr>
                      <w:fldChar w:fldCharType="separate"/>
                    </w:r>
                    <w:r>
                      <w:rPr>
                        <w:sz w:val="24"/>
                        <w:szCs w:val="40"/>
                      </w:rPr>
                      <w:t>1</w:t>
                    </w:r>
                    <w:r>
                      <w:rPr>
                        <w:sz w:val="24"/>
                        <w:szCs w:val="40"/>
                      </w:rPr>
                      <w:fldChar w:fldCharType="end"/>
                    </w:r>
                    <w:r>
                      <w:rPr>
                        <w:sz w:val="24"/>
                        <w:szCs w:val="40"/>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C783DC7"/>
    <w:rsid w:val="00233788"/>
    <w:rsid w:val="00611DCA"/>
    <w:rsid w:val="00736357"/>
    <w:rsid w:val="009E56F2"/>
    <w:rsid w:val="00E75713"/>
    <w:rsid w:val="0140086B"/>
    <w:rsid w:val="027F2D66"/>
    <w:rsid w:val="02E50229"/>
    <w:rsid w:val="030A718C"/>
    <w:rsid w:val="03C4282B"/>
    <w:rsid w:val="03CA3E5A"/>
    <w:rsid w:val="040B0E2B"/>
    <w:rsid w:val="04B86362"/>
    <w:rsid w:val="04F035A7"/>
    <w:rsid w:val="05376505"/>
    <w:rsid w:val="05F226EE"/>
    <w:rsid w:val="05F25B26"/>
    <w:rsid w:val="06AA4286"/>
    <w:rsid w:val="073F2CB4"/>
    <w:rsid w:val="07503853"/>
    <w:rsid w:val="07971701"/>
    <w:rsid w:val="07E757B0"/>
    <w:rsid w:val="081A2F60"/>
    <w:rsid w:val="084C6F34"/>
    <w:rsid w:val="08850B9A"/>
    <w:rsid w:val="089E7837"/>
    <w:rsid w:val="08C25CD8"/>
    <w:rsid w:val="09756E61"/>
    <w:rsid w:val="0A3C707C"/>
    <w:rsid w:val="0AC05BA9"/>
    <w:rsid w:val="0B106B59"/>
    <w:rsid w:val="0B8A4A3D"/>
    <w:rsid w:val="0BC22D1A"/>
    <w:rsid w:val="0C2E65B0"/>
    <w:rsid w:val="0C4020B8"/>
    <w:rsid w:val="0C560557"/>
    <w:rsid w:val="0DBE1BC2"/>
    <w:rsid w:val="0DD31362"/>
    <w:rsid w:val="0DFB45CE"/>
    <w:rsid w:val="0E446C11"/>
    <w:rsid w:val="0F824062"/>
    <w:rsid w:val="0FC151E5"/>
    <w:rsid w:val="10326A8C"/>
    <w:rsid w:val="10AD1772"/>
    <w:rsid w:val="10C05C73"/>
    <w:rsid w:val="10DB2680"/>
    <w:rsid w:val="12417C22"/>
    <w:rsid w:val="12542758"/>
    <w:rsid w:val="12577612"/>
    <w:rsid w:val="128D6FC9"/>
    <w:rsid w:val="12AC1335"/>
    <w:rsid w:val="13A34E7E"/>
    <w:rsid w:val="13BC686D"/>
    <w:rsid w:val="13DE3860"/>
    <w:rsid w:val="13F972F8"/>
    <w:rsid w:val="14423DE3"/>
    <w:rsid w:val="147D2067"/>
    <w:rsid w:val="148F527B"/>
    <w:rsid w:val="14C0111B"/>
    <w:rsid w:val="14FF57E0"/>
    <w:rsid w:val="15215DD4"/>
    <w:rsid w:val="157B12E9"/>
    <w:rsid w:val="15A208BF"/>
    <w:rsid w:val="1618304E"/>
    <w:rsid w:val="16346446"/>
    <w:rsid w:val="17926351"/>
    <w:rsid w:val="180019B1"/>
    <w:rsid w:val="18624641"/>
    <w:rsid w:val="18671E88"/>
    <w:rsid w:val="187D428A"/>
    <w:rsid w:val="18B410A1"/>
    <w:rsid w:val="18F13D88"/>
    <w:rsid w:val="19890F20"/>
    <w:rsid w:val="19EF3B80"/>
    <w:rsid w:val="1A4461D3"/>
    <w:rsid w:val="1AF13CB5"/>
    <w:rsid w:val="1B38720B"/>
    <w:rsid w:val="1B680193"/>
    <w:rsid w:val="1B844E01"/>
    <w:rsid w:val="1B8C43ED"/>
    <w:rsid w:val="1C177601"/>
    <w:rsid w:val="1C8D3571"/>
    <w:rsid w:val="1CE31FEF"/>
    <w:rsid w:val="1D335530"/>
    <w:rsid w:val="1D3D080E"/>
    <w:rsid w:val="1D631F57"/>
    <w:rsid w:val="1D717DE4"/>
    <w:rsid w:val="1DBB00DD"/>
    <w:rsid w:val="1DC92E38"/>
    <w:rsid w:val="1E276C59"/>
    <w:rsid w:val="1E3649B9"/>
    <w:rsid w:val="1E7F3E8E"/>
    <w:rsid w:val="1E8B5C66"/>
    <w:rsid w:val="1EEE0E48"/>
    <w:rsid w:val="1EF00E33"/>
    <w:rsid w:val="1F103521"/>
    <w:rsid w:val="1F576138"/>
    <w:rsid w:val="1FD25822"/>
    <w:rsid w:val="1FED4BCB"/>
    <w:rsid w:val="1FF40688"/>
    <w:rsid w:val="203F4A14"/>
    <w:rsid w:val="20795E6D"/>
    <w:rsid w:val="20B12A29"/>
    <w:rsid w:val="20F05F1A"/>
    <w:rsid w:val="20FE437E"/>
    <w:rsid w:val="21053E68"/>
    <w:rsid w:val="214B720A"/>
    <w:rsid w:val="221A1EF2"/>
    <w:rsid w:val="22464B69"/>
    <w:rsid w:val="225C786D"/>
    <w:rsid w:val="227771E0"/>
    <w:rsid w:val="2290169F"/>
    <w:rsid w:val="22C60344"/>
    <w:rsid w:val="23006B54"/>
    <w:rsid w:val="231A3393"/>
    <w:rsid w:val="233019E9"/>
    <w:rsid w:val="23590694"/>
    <w:rsid w:val="23A75A11"/>
    <w:rsid w:val="24312146"/>
    <w:rsid w:val="24927969"/>
    <w:rsid w:val="258064C3"/>
    <w:rsid w:val="25890BE3"/>
    <w:rsid w:val="267A09BE"/>
    <w:rsid w:val="26CD23C6"/>
    <w:rsid w:val="270B2B27"/>
    <w:rsid w:val="27BA542B"/>
    <w:rsid w:val="27ED433A"/>
    <w:rsid w:val="288E3C91"/>
    <w:rsid w:val="28D503BE"/>
    <w:rsid w:val="29ED5888"/>
    <w:rsid w:val="29FD51D1"/>
    <w:rsid w:val="2B0C5847"/>
    <w:rsid w:val="2B6F3346"/>
    <w:rsid w:val="2B727341"/>
    <w:rsid w:val="2C0A0593"/>
    <w:rsid w:val="2C4E38B6"/>
    <w:rsid w:val="2D6F6834"/>
    <w:rsid w:val="2DB42624"/>
    <w:rsid w:val="2DCA5357"/>
    <w:rsid w:val="2DFE0923"/>
    <w:rsid w:val="2EC61441"/>
    <w:rsid w:val="2F4C770E"/>
    <w:rsid w:val="2F6A2C34"/>
    <w:rsid w:val="2FEE2BE5"/>
    <w:rsid w:val="2FF74AA0"/>
    <w:rsid w:val="30801D7D"/>
    <w:rsid w:val="30C95188"/>
    <w:rsid w:val="31AD6BAB"/>
    <w:rsid w:val="3292676C"/>
    <w:rsid w:val="33C45403"/>
    <w:rsid w:val="33C85C5B"/>
    <w:rsid w:val="346B5E11"/>
    <w:rsid w:val="34A73065"/>
    <w:rsid w:val="34A73A14"/>
    <w:rsid w:val="34D23635"/>
    <w:rsid w:val="34D33963"/>
    <w:rsid w:val="353B6609"/>
    <w:rsid w:val="357C0AAC"/>
    <w:rsid w:val="35FD43AC"/>
    <w:rsid w:val="363E4368"/>
    <w:rsid w:val="36603B54"/>
    <w:rsid w:val="36B11E58"/>
    <w:rsid w:val="37325ABA"/>
    <w:rsid w:val="37675BEE"/>
    <w:rsid w:val="37F106C6"/>
    <w:rsid w:val="37F16D18"/>
    <w:rsid w:val="38CB6B5A"/>
    <w:rsid w:val="39096059"/>
    <w:rsid w:val="391C49B8"/>
    <w:rsid w:val="39EE5E13"/>
    <w:rsid w:val="39F82F81"/>
    <w:rsid w:val="3A182AD4"/>
    <w:rsid w:val="3A43227E"/>
    <w:rsid w:val="3AE17DF3"/>
    <w:rsid w:val="3AEF4379"/>
    <w:rsid w:val="3BD737E4"/>
    <w:rsid w:val="3C783DC7"/>
    <w:rsid w:val="3C8D2095"/>
    <w:rsid w:val="3CCF30D1"/>
    <w:rsid w:val="3CE353E2"/>
    <w:rsid w:val="3D0230F5"/>
    <w:rsid w:val="3DAE3C00"/>
    <w:rsid w:val="3E135399"/>
    <w:rsid w:val="3EA6661C"/>
    <w:rsid w:val="3ECC364E"/>
    <w:rsid w:val="3F46538F"/>
    <w:rsid w:val="3F837B61"/>
    <w:rsid w:val="3FBF13C5"/>
    <w:rsid w:val="3FD8510B"/>
    <w:rsid w:val="40362AC3"/>
    <w:rsid w:val="40715E99"/>
    <w:rsid w:val="407E2195"/>
    <w:rsid w:val="40CA401A"/>
    <w:rsid w:val="40E52FF7"/>
    <w:rsid w:val="41185E90"/>
    <w:rsid w:val="411A39E1"/>
    <w:rsid w:val="412374ED"/>
    <w:rsid w:val="417022B7"/>
    <w:rsid w:val="419848DC"/>
    <w:rsid w:val="41AC3525"/>
    <w:rsid w:val="41BF086E"/>
    <w:rsid w:val="41E27A8D"/>
    <w:rsid w:val="423D370A"/>
    <w:rsid w:val="429F0735"/>
    <w:rsid w:val="42BE5275"/>
    <w:rsid w:val="42E93FFE"/>
    <w:rsid w:val="43180441"/>
    <w:rsid w:val="44583521"/>
    <w:rsid w:val="445E053F"/>
    <w:rsid w:val="450155C4"/>
    <w:rsid w:val="455B4C61"/>
    <w:rsid w:val="45D16BF2"/>
    <w:rsid w:val="463D66CA"/>
    <w:rsid w:val="466620DA"/>
    <w:rsid w:val="46960B34"/>
    <w:rsid w:val="46BF6A4A"/>
    <w:rsid w:val="47060B1D"/>
    <w:rsid w:val="47765B7F"/>
    <w:rsid w:val="47B276EE"/>
    <w:rsid w:val="47CD6BD8"/>
    <w:rsid w:val="47EE4F53"/>
    <w:rsid w:val="47F01FDD"/>
    <w:rsid w:val="480B478C"/>
    <w:rsid w:val="48403D01"/>
    <w:rsid w:val="48894D7A"/>
    <w:rsid w:val="48B34F23"/>
    <w:rsid w:val="491717F3"/>
    <w:rsid w:val="4923240A"/>
    <w:rsid w:val="492A7BC3"/>
    <w:rsid w:val="498C1010"/>
    <w:rsid w:val="49F032CD"/>
    <w:rsid w:val="4A194640"/>
    <w:rsid w:val="4A431F9C"/>
    <w:rsid w:val="4A617F3A"/>
    <w:rsid w:val="4A621263"/>
    <w:rsid w:val="4AB4263E"/>
    <w:rsid w:val="4AC97E97"/>
    <w:rsid w:val="4B4F2D9B"/>
    <w:rsid w:val="4B685902"/>
    <w:rsid w:val="4B840EE1"/>
    <w:rsid w:val="4C4A05EE"/>
    <w:rsid w:val="4C7E2F03"/>
    <w:rsid w:val="4CA51888"/>
    <w:rsid w:val="4CA763A0"/>
    <w:rsid w:val="4CB858EC"/>
    <w:rsid w:val="4D5C7F7A"/>
    <w:rsid w:val="4DFB397D"/>
    <w:rsid w:val="4E884A15"/>
    <w:rsid w:val="4ED4610C"/>
    <w:rsid w:val="4FC74BC1"/>
    <w:rsid w:val="4FD10ADB"/>
    <w:rsid w:val="4FD87093"/>
    <w:rsid w:val="502B287F"/>
    <w:rsid w:val="50783668"/>
    <w:rsid w:val="510B7212"/>
    <w:rsid w:val="51494C84"/>
    <w:rsid w:val="514D6F40"/>
    <w:rsid w:val="51BF289B"/>
    <w:rsid w:val="51E347C2"/>
    <w:rsid w:val="51E62FF3"/>
    <w:rsid w:val="526C20D3"/>
    <w:rsid w:val="52BD4EAA"/>
    <w:rsid w:val="53A16198"/>
    <w:rsid w:val="53A808D6"/>
    <w:rsid w:val="53B673D7"/>
    <w:rsid w:val="54200035"/>
    <w:rsid w:val="543F648D"/>
    <w:rsid w:val="54800835"/>
    <w:rsid w:val="548B4B6D"/>
    <w:rsid w:val="54A30D10"/>
    <w:rsid w:val="54DE09E3"/>
    <w:rsid w:val="550F143F"/>
    <w:rsid w:val="552114B7"/>
    <w:rsid w:val="55F8786C"/>
    <w:rsid w:val="56433986"/>
    <w:rsid w:val="564C7BCE"/>
    <w:rsid w:val="57323C2A"/>
    <w:rsid w:val="57535512"/>
    <w:rsid w:val="575A6B18"/>
    <w:rsid w:val="576C1E60"/>
    <w:rsid w:val="578E7148"/>
    <w:rsid w:val="57F57795"/>
    <w:rsid w:val="581F468F"/>
    <w:rsid w:val="58AE4B9E"/>
    <w:rsid w:val="58E74429"/>
    <w:rsid w:val="58FB12AF"/>
    <w:rsid w:val="591B3204"/>
    <w:rsid w:val="5A1476CC"/>
    <w:rsid w:val="5A4076D1"/>
    <w:rsid w:val="5B984EDD"/>
    <w:rsid w:val="5BEE2640"/>
    <w:rsid w:val="5C380A39"/>
    <w:rsid w:val="5C6E2884"/>
    <w:rsid w:val="5CA969C6"/>
    <w:rsid w:val="5CD437F9"/>
    <w:rsid w:val="5D0A24B4"/>
    <w:rsid w:val="5D0A2939"/>
    <w:rsid w:val="5D504448"/>
    <w:rsid w:val="5DC42B8A"/>
    <w:rsid w:val="5DF82331"/>
    <w:rsid w:val="5E0750ED"/>
    <w:rsid w:val="5E7C0BC0"/>
    <w:rsid w:val="5EF97A8F"/>
    <w:rsid w:val="5F354946"/>
    <w:rsid w:val="5F374EE2"/>
    <w:rsid w:val="5F6879F3"/>
    <w:rsid w:val="5F9A0301"/>
    <w:rsid w:val="60007E32"/>
    <w:rsid w:val="604A1623"/>
    <w:rsid w:val="60905D78"/>
    <w:rsid w:val="60DC4BAE"/>
    <w:rsid w:val="614562D3"/>
    <w:rsid w:val="61826B9A"/>
    <w:rsid w:val="618F340F"/>
    <w:rsid w:val="61C176DF"/>
    <w:rsid w:val="61D2149C"/>
    <w:rsid w:val="61EF2CCB"/>
    <w:rsid w:val="61FC692E"/>
    <w:rsid w:val="62652FA6"/>
    <w:rsid w:val="628E4724"/>
    <w:rsid w:val="62DC7B44"/>
    <w:rsid w:val="63003B6C"/>
    <w:rsid w:val="632120A4"/>
    <w:rsid w:val="63615A0A"/>
    <w:rsid w:val="636673A6"/>
    <w:rsid w:val="64D771FD"/>
    <w:rsid w:val="65201A40"/>
    <w:rsid w:val="6595587C"/>
    <w:rsid w:val="65DC0780"/>
    <w:rsid w:val="66576209"/>
    <w:rsid w:val="66E6297C"/>
    <w:rsid w:val="66EE0A89"/>
    <w:rsid w:val="67185D5B"/>
    <w:rsid w:val="67256806"/>
    <w:rsid w:val="67590950"/>
    <w:rsid w:val="67A631F1"/>
    <w:rsid w:val="67ED5321"/>
    <w:rsid w:val="683D62F8"/>
    <w:rsid w:val="68641874"/>
    <w:rsid w:val="688E1C9E"/>
    <w:rsid w:val="68E846F4"/>
    <w:rsid w:val="68EB660B"/>
    <w:rsid w:val="69165CAD"/>
    <w:rsid w:val="6968109D"/>
    <w:rsid w:val="697E05AE"/>
    <w:rsid w:val="69B933E7"/>
    <w:rsid w:val="69D34B42"/>
    <w:rsid w:val="6A2627B9"/>
    <w:rsid w:val="6A4B6B99"/>
    <w:rsid w:val="6AA8559A"/>
    <w:rsid w:val="6B081CC6"/>
    <w:rsid w:val="6B3B6738"/>
    <w:rsid w:val="6C871713"/>
    <w:rsid w:val="6C935749"/>
    <w:rsid w:val="6CFD6700"/>
    <w:rsid w:val="6D275C48"/>
    <w:rsid w:val="6D30715E"/>
    <w:rsid w:val="6D8C7D95"/>
    <w:rsid w:val="6D910891"/>
    <w:rsid w:val="6E33532B"/>
    <w:rsid w:val="6E74729F"/>
    <w:rsid w:val="6EFB21B8"/>
    <w:rsid w:val="6F046FC4"/>
    <w:rsid w:val="6F29498A"/>
    <w:rsid w:val="6F372A17"/>
    <w:rsid w:val="6F604D61"/>
    <w:rsid w:val="70CA0EA6"/>
    <w:rsid w:val="714B34C7"/>
    <w:rsid w:val="714C2349"/>
    <w:rsid w:val="72206DDB"/>
    <w:rsid w:val="724B7BF9"/>
    <w:rsid w:val="726F7BC9"/>
    <w:rsid w:val="7371131E"/>
    <w:rsid w:val="73E159A2"/>
    <w:rsid w:val="742941F0"/>
    <w:rsid w:val="7458261E"/>
    <w:rsid w:val="745C0323"/>
    <w:rsid w:val="74971445"/>
    <w:rsid w:val="74C444B4"/>
    <w:rsid w:val="74FD5AD9"/>
    <w:rsid w:val="75060D55"/>
    <w:rsid w:val="756C44E1"/>
    <w:rsid w:val="757626F4"/>
    <w:rsid w:val="75DB716B"/>
    <w:rsid w:val="767D7B65"/>
    <w:rsid w:val="76B57C9F"/>
    <w:rsid w:val="76BF5DE3"/>
    <w:rsid w:val="76DF4B75"/>
    <w:rsid w:val="771A1B41"/>
    <w:rsid w:val="787768D5"/>
    <w:rsid w:val="795C1D3E"/>
    <w:rsid w:val="79C13DE5"/>
    <w:rsid w:val="79C31A6A"/>
    <w:rsid w:val="7AAB4757"/>
    <w:rsid w:val="7ADC162D"/>
    <w:rsid w:val="7B293640"/>
    <w:rsid w:val="7B432FC7"/>
    <w:rsid w:val="7B470757"/>
    <w:rsid w:val="7B7B6F90"/>
    <w:rsid w:val="7BCB1F85"/>
    <w:rsid w:val="7BF068D3"/>
    <w:rsid w:val="7C946722"/>
    <w:rsid w:val="7D5A5EE0"/>
    <w:rsid w:val="7E48416E"/>
    <w:rsid w:val="7E55504E"/>
    <w:rsid w:val="7E8B29F7"/>
    <w:rsid w:val="7EF40901"/>
    <w:rsid w:val="7F0320E3"/>
    <w:rsid w:val="7F393F07"/>
    <w:rsid w:val="7F8F1EB3"/>
    <w:rsid w:val="7FD74593"/>
    <w:rsid w:val="7FE75FEB"/>
    <w:rsid w:val="7FEE54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Normal Indent"/>
    <w:basedOn w:val="1"/>
    <w:next w:val="1"/>
    <w:unhideWhenUsed/>
    <w:qFormat/>
    <w:uiPriority w:val="99"/>
    <w:pPr>
      <w:keepNext w:val="0"/>
      <w:keepLines w:val="0"/>
      <w:widowControl w:val="0"/>
      <w:suppressLineNumbers w:val="0"/>
      <w:spacing w:before="0" w:beforeAutospacing="0" w:after="0" w:afterAutospacing="0"/>
      <w:ind w:left="0" w:right="0" w:firstLine="420" w:firstLineChars="200"/>
      <w:jc w:val="both"/>
    </w:pPr>
    <w:rPr>
      <w:rFonts w:hint="default" w:ascii="Times New Roman" w:hAnsi="Times New Roman" w:eastAsia="宋体" w:cs="Times New Roman"/>
      <w:kern w:val="2"/>
      <w:sz w:val="21"/>
      <w:szCs w:val="21"/>
      <w:lang w:val="en-US" w:eastAsia="zh-CN" w:bidi="ar"/>
    </w:rPr>
  </w:style>
  <w:style w:type="paragraph" w:styleId="4">
    <w:name w:val="Body Text"/>
    <w:basedOn w:val="1"/>
    <w:semiHidden/>
    <w:qFormat/>
    <w:uiPriority w:val="0"/>
    <w:rPr>
      <w:rFonts w:ascii="宋体" w:hAnsi="宋体" w:eastAsia="宋体" w:cs="宋体"/>
      <w:sz w:val="29"/>
      <w:szCs w:val="29"/>
      <w:lang w:val="en-US" w:eastAsia="en-US" w:bidi="ar-SA"/>
    </w:rPr>
  </w:style>
  <w:style w:type="paragraph" w:styleId="5">
    <w:name w:val="footer"/>
    <w:basedOn w:val="1"/>
    <w:next w:val="6"/>
    <w:qFormat/>
    <w:uiPriority w:val="0"/>
    <w:pPr>
      <w:tabs>
        <w:tab w:val="center" w:pos="4153"/>
        <w:tab w:val="right" w:pos="8306"/>
      </w:tabs>
      <w:snapToGrid w:val="0"/>
      <w:jc w:val="left"/>
    </w:pPr>
    <w:rPr>
      <w:sz w:val="18"/>
    </w:rPr>
  </w:style>
  <w:style w:type="paragraph" w:customStyle="1" w:styleId="6">
    <w:name w:val="样式 附件标题 + 段前: 0.5 行 段后: 1.5 行"/>
    <w:basedOn w:val="1"/>
    <w:qFormat/>
    <w:uiPriority w:val="0"/>
    <w:pPr>
      <w:spacing w:line="280" w:lineRule="exact"/>
    </w:pPr>
    <w:rPr>
      <w:rFonts w:ascii="宋体"/>
      <w:color w:val="000000"/>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Normal (Web)"/>
    <w:basedOn w:val="1"/>
    <w:unhideWhenUsed/>
    <w:qFormat/>
    <w:uiPriority w:val="99"/>
    <w:pPr>
      <w:keepNext w:val="0"/>
      <w:keepLines w:val="0"/>
      <w:widowControl w:val="0"/>
      <w:suppressLineNumbers w:val="0"/>
      <w:spacing w:before="0" w:beforeAutospacing="0" w:after="0" w:afterAutospacing="0"/>
      <w:ind w:left="0" w:right="0"/>
      <w:jc w:val="both"/>
    </w:pPr>
    <w:rPr>
      <w:rFonts w:hint="default" w:ascii="Times New Roman" w:hAnsi="Times New Roman" w:eastAsia="宋体" w:cs="Times New Roman"/>
      <w:kern w:val="2"/>
      <w:sz w:val="24"/>
      <w:szCs w:val="24"/>
      <w:lang w:val="en-US" w:eastAsia="zh-CN" w:bidi="ar"/>
    </w:rPr>
  </w:style>
  <w:style w:type="paragraph" w:customStyle="1" w:styleId="11">
    <w:name w:val="_Style 1"/>
    <w:basedOn w:val="1"/>
    <w:qFormat/>
    <w:uiPriority w:val="0"/>
    <w:pPr>
      <w:ind w:left="380" w:hanging="202"/>
    </w:pPr>
  </w:style>
  <w:style w:type="paragraph" w:customStyle="1" w:styleId="12">
    <w:name w:val="正文首行缩进1"/>
    <w:basedOn w:val="4"/>
    <w:qFormat/>
    <w:uiPriority w:val="0"/>
    <w:pPr>
      <w:ind w:left="0" w:right="0" w:firstLine="420"/>
    </w:pPr>
    <w:rPr>
      <w:rFonts w:ascii="Times New Roman" w:hAnsi="Times New Roman" w:eastAsia="宋体" w:cs="Times New Roma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Pages>
  <Words>5301</Words>
  <Characters>5630</Characters>
  <Lines>0</Lines>
  <Paragraphs>0</Paragraphs>
  <TotalTime>0</TotalTime>
  <ScaleCrop>false</ScaleCrop>
  <LinksUpToDate>false</LinksUpToDate>
  <CharactersWithSpaces>5694</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2025-09-08T01:56:00Z</dcterms:created>
  <dc:creator>林瑞平</dc:creator>
  <cp:lastModifiedBy>陈建东</cp:lastModifiedBy>
  <dcterms:modified xsi:type="dcterms:W3CDTF">2025-09-12T10:00:17Z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8CC836D25ADE42FFA5AC6A256BFCE03B_13</vt:lpwstr>
  </property>
  <property fmtid="{D5CDD505-2E9C-101B-9397-08002B2CF9AE}" pid="4" name="KSOTemplateDocerSaveRecord">
    <vt:lpwstr>eyJoZGlkIjoiNjIyYzEwOGY3OTRmODBiMzAyNDA1ODUzZWFjOThmOGYiLCJ1c2VySWQiOiIzODEwODY2NDkifQ==</vt:lpwstr>
  </property>
</Properties>
</file>