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ascii="仿宋" w:hAnsi="仿宋" w:eastAsia="仿宋" w:cs="仿宋"/>
          <w:sz w:val="32"/>
          <w:szCs w:val="32"/>
        </w:rPr>
      </w:pPr>
      <w:r>
        <w:rPr>
          <w:rStyle w:val="11"/>
          <w:rFonts w:hint="eastAsia" w:ascii="仿宋" w:hAnsi="仿宋" w:eastAsia="仿宋" w:cs="仿宋"/>
          <w:b/>
          <w:bCs/>
          <w:sz w:val="32"/>
          <w:szCs w:val="32"/>
        </w:rPr>
        <w:t>煤炭</w:t>
      </w:r>
      <w:r>
        <w:rPr>
          <w:rStyle w:val="11"/>
          <w:rFonts w:hint="eastAsia" w:ascii="仿宋" w:hAnsi="仿宋" w:eastAsia="仿宋" w:cs="仿宋"/>
          <w:b/>
          <w:bCs/>
          <w:sz w:val="32"/>
          <w:szCs w:val="32"/>
          <w:lang w:val="en-US" w:eastAsia="zh-CN"/>
        </w:rPr>
        <w:t>采购</w:t>
      </w:r>
      <w:r>
        <w:rPr>
          <w:rStyle w:val="11"/>
          <w:rFonts w:hint="eastAsia" w:ascii="仿宋" w:hAnsi="仿宋" w:eastAsia="仿宋" w:cs="仿宋"/>
          <w:b/>
          <w:bCs/>
          <w:sz w:val="32"/>
          <w:szCs w:val="32"/>
        </w:rPr>
        <w:t>合同</w:t>
      </w:r>
    </w:p>
    <w:tbl>
      <w:tblPr>
        <w:tblStyle w:val="9"/>
        <w:tblW w:w="9379" w:type="dxa"/>
        <w:tblInd w:w="0" w:type="dxa"/>
        <w:tblLayout w:type="fixed"/>
        <w:tblCellMar>
          <w:top w:w="0" w:type="dxa"/>
          <w:left w:w="108" w:type="dxa"/>
          <w:bottom w:w="0" w:type="dxa"/>
          <w:right w:w="108" w:type="dxa"/>
        </w:tblCellMar>
      </w:tblPr>
      <w:tblGrid>
        <w:gridCol w:w="4809"/>
        <w:gridCol w:w="4570"/>
      </w:tblGrid>
      <w:tr>
        <w:tblPrEx>
          <w:tblCellMar>
            <w:top w:w="0" w:type="dxa"/>
            <w:left w:w="108" w:type="dxa"/>
            <w:bottom w:w="0" w:type="dxa"/>
            <w:right w:w="108" w:type="dxa"/>
          </w:tblCellMar>
        </w:tblPrEx>
        <w:tc>
          <w:tcPr>
            <w:tcW w:w="4809" w:type="dxa"/>
          </w:tcPr>
          <w:p>
            <w:pPr>
              <w:tabs>
                <w:tab w:val="left" w:pos="6195"/>
              </w:tabs>
              <w:spacing w:line="400" w:lineRule="exact"/>
              <w:ind w:left="1687" w:hanging="1687" w:hangingChars="700"/>
              <w:rPr>
                <w:rFonts w:ascii="宋体" w:hAnsi="宋体" w:eastAsia="宋体"/>
                <w:b/>
                <w:bCs/>
                <w:sz w:val="24"/>
              </w:rPr>
            </w:pPr>
            <w:r>
              <w:rPr>
                <w:rFonts w:hint="eastAsia" w:ascii="宋体" w:hAnsi="宋体" w:eastAsia="宋体" w:cs="宋体"/>
                <w:b/>
                <w:bCs/>
                <w:sz w:val="24"/>
              </w:rPr>
              <w:t>买受人(</w:t>
            </w:r>
            <w:r>
              <w:rPr>
                <w:rFonts w:hint="eastAsia" w:ascii="宋体" w:hAnsi="宋体" w:cs="宋体"/>
                <w:b/>
                <w:bCs/>
                <w:sz w:val="24"/>
              </w:rPr>
              <w:t>甲方</w:t>
            </w:r>
            <w:r>
              <w:rPr>
                <w:rFonts w:hint="eastAsia" w:ascii="宋体" w:hAnsi="宋体" w:eastAsia="宋体" w:cs="宋体"/>
                <w:b/>
                <w:bCs/>
                <w:sz w:val="24"/>
              </w:rPr>
              <w:t>)：</w:t>
            </w:r>
            <w:r>
              <w:rPr>
                <w:rFonts w:hint="eastAsia" w:ascii="宋体" w:eastAsia="宋体" w:cs="宋体"/>
                <w:b/>
                <w:bCs/>
                <w:sz w:val="24"/>
                <w:u w:val="single"/>
              </w:rPr>
              <w:t>中国华电集团贵港发电有限公司</w:t>
            </w:r>
          </w:p>
        </w:tc>
        <w:tc>
          <w:tcPr>
            <w:tcW w:w="4570" w:type="dxa"/>
          </w:tcPr>
          <w:p>
            <w:pPr>
              <w:tabs>
                <w:tab w:val="left" w:pos="61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甲方合同编号：</w:t>
            </w:r>
            <w:r>
              <w:rPr>
                <w:rFonts w:hint="eastAsia" w:ascii="宋体" w:hAnsi="宋体" w:eastAsia="宋体" w:cs="宋体"/>
                <w:b/>
                <w:bCs/>
                <w:sz w:val="24"/>
                <w:lang w:val="en-US" w:eastAsia="zh-CN"/>
              </w:rPr>
              <w:t xml:space="preserve"> </w:t>
            </w:r>
          </w:p>
          <w:p>
            <w:pPr>
              <w:tabs>
                <w:tab w:val="left" w:pos="6195"/>
              </w:tabs>
              <w:spacing w:line="400" w:lineRule="exact"/>
              <w:rPr>
                <w:rFonts w:hint="eastAsia" w:ascii="宋体" w:hAnsi="宋体" w:eastAsia="宋体"/>
                <w:b/>
                <w:bCs/>
                <w:sz w:val="24"/>
                <w:lang w:eastAsia="zh-CN"/>
              </w:rPr>
            </w:pPr>
            <w:r>
              <w:rPr>
                <w:rFonts w:hint="eastAsia" w:ascii="宋体" w:hAnsi="宋体" w:eastAsia="宋体" w:cs="宋体"/>
                <w:b/>
                <w:bCs/>
                <w:sz w:val="24"/>
              </w:rPr>
              <w:t>乙方合同编号：</w:t>
            </w:r>
            <w:r>
              <w:rPr>
                <w:rFonts w:hint="eastAsia" w:ascii="宋体" w:hAnsi="宋体" w:eastAsia="宋体" w:cs="宋体"/>
                <w:b/>
                <w:bCs/>
                <w:sz w:val="24"/>
                <w:lang w:val="en-US" w:eastAsia="zh-CN"/>
              </w:rPr>
              <w:t xml:space="preserve"> </w:t>
            </w:r>
          </w:p>
        </w:tc>
      </w:tr>
      <w:tr>
        <w:tblPrEx>
          <w:tblCellMar>
            <w:top w:w="0" w:type="dxa"/>
            <w:left w:w="108" w:type="dxa"/>
            <w:bottom w:w="0" w:type="dxa"/>
            <w:right w:w="108" w:type="dxa"/>
          </w:tblCellMar>
        </w:tblPrEx>
        <w:tc>
          <w:tcPr>
            <w:tcW w:w="4809" w:type="dxa"/>
          </w:tcPr>
          <w:p>
            <w:pPr>
              <w:tabs>
                <w:tab w:val="left" w:pos="6195"/>
              </w:tabs>
              <w:spacing w:line="400" w:lineRule="exact"/>
              <w:rPr>
                <w:rFonts w:ascii="宋体" w:hAnsi="宋体"/>
                <w:b/>
                <w:bCs/>
                <w:sz w:val="24"/>
              </w:rPr>
            </w:pPr>
            <w:r>
              <w:rPr>
                <w:rFonts w:hint="eastAsia" w:ascii="宋体" w:hAnsi="宋体" w:eastAsia="宋体" w:cs="宋体"/>
                <w:b/>
                <w:bCs/>
                <w:sz w:val="24"/>
              </w:rPr>
              <w:t>出卖人(</w:t>
            </w:r>
            <w:r>
              <w:rPr>
                <w:rFonts w:hint="eastAsia" w:ascii="宋体" w:hAnsi="宋体" w:cs="宋体"/>
                <w:b/>
                <w:bCs/>
                <w:sz w:val="24"/>
              </w:rPr>
              <w:t>乙方</w:t>
            </w:r>
            <w:r>
              <w:rPr>
                <w:rFonts w:hint="eastAsia" w:ascii="宋体" w:hAnsi="宋体" w:eastAsia="宋体" w:cs="宋体"/>
                <w:b/>
                <w:bCs/>
                <w:sz w:val="24"/>
              </w:rPr>
              <w:t>)：</w:t>
            </w:r>
          </w:p>
        </w:tc>
        <w:tc>
          <w:tcPr>
            <w:tcW w:w="4570" w:type="dxa"/>
          </w:tcPr>
          <w:p>
            <w:pPr>
              <w:tabs>
                <w:tab w:val="left" w:pos="6195"/>
              </w:tabs>
              <w:spacing w:line="400" w:lineRule="exact"/>
              <w:rPr>
                <w:rFonts w:ascii="宋体" w:hAnsi="宋体" w:eastAsia="宋体" w:cs="宋体"/>
                <w:b/>
                <w:bCs/>
                <w:sz w:val="24"/>
              </w:rPr>
            </w:pPr>
            <w:r>
              <w:rPr>
                <w:rFonts w:hint="eastAsia" w:ascii="宋体" w:hAnsi="宋体" w:eastAsia="宋体" w:cs="宋体"/>
                <w:b/>
                <w:bCs/>
                <w:sz w:val="24"/>
              </w:rPr>
              <w:t>签订时间：202</w:t>
            </w:r>
            <w:r>
              <w:rPr>
                <w:rFonts w:hint="eastAsia" w:ascii="宋体" w:hAnsi="宋体" w:eastAsia="宋体" w:cs="宋体"/>
                <w:b/>
                <w:bCs/>
                <w:sz w:val="24"/>
                <w:lang w:val="en-US" w:eastAsia="zh-CN"/>
              </w:rPr>
              <w:t>4</w:t>
            </w:r>
            <w:r>
              <w:rPr>
                <w:rFonts w:hint="eastAsia" w:ascii="宋体" w:hAnsi="宋体" w:cs="宋体"/>
                <w:b/>
                <w:bCs/>
                <w:sz w:val="24"/>
              </w:rPr>
              <w:t xml:space="preserve"> </w:t>
            </w:r>
            <w:r>
              <w:rPr>
                <w:rFonts w:hint="eastAsia" w:ascii="宋体" w:hAnsi="宋体" w:eastAsia="宋体" w:cs="宋体"/>
                <w:b/>
                <w:bCs/>
                <w:sz w:val="24"/>
              </w:rPr>
              <w:t>年</w:t>
            </w:r>
            <w:r>
              <w:rPr>
                <w:rFonts w:hint="eastAsia" w:ascii="宋体" w:hAnsi="宋体" w:cs="宋体"/>
                <w:b/>
                <w:bCs/>
                <w:sz w:val="24"/>
              </w:rPr>
              <w:t xml:space="preserve">  </w:t>
            </w:r>
            <w:r>
              <w:rPr>
                <w:rFonts w:hint="eastAsia" w:ascii="宋体" w:hAnsi="宋体" w:eastAsia="宋体" w:cs="宋体"/>
                <w:b/>
                <w:bCs/>
                <w:sz w:val="24"/>
              </w:rPr>
              <w:t>月</w:t>
            </w:r>
            <w:r>
              <w:rPr>
                <w:rFonts w:hint="eastAsia" w:ascii="宋体" w:hAnsi="宋体" w:cs="宋体"/>
                <w:b/>
                <w:bCs/>
                <w:sz w:val="24"/>
              </w:rPr>
              <w:t xml:space="preserve">  </w:t>
            </w:r>
            <w:r>
              <w:rPr>
                <w:rFonts w:hint="eastAsia" w:ascii="宋体" w:hAnsi="宋体" w:eastAsia="宋体" w:cs="宋体"/>
                <w:b/>
                <w:bCs/>
                <w:sz w:val="24"/>
              </w:rPr>
              <w:t>日</w:t>
            </w:r>
          </w:p>
          <w:p>
            <w:pPr>
              <w:tabs>
                <w:tab w:val="left" w:pos="6195"/>
              </w:tabs>
              <w:spacing w:line="400" w:lineRule="exact"/>
              <w:rPr>
                <w:rFonts w:ascii="宋体" w:hAnsi="宋体"/>
                <w:b/>
                <w:bCs/>
                <w:sz w:val="24"/>
              </w:rPr>
            </w:pPr>
            <w:r>
              <w:rPr>
                <w:rFonts w:hint="eastAsia" w:ascii="宋体" w:hAnsi="宋体" w:eastAsia="宋体" w:cs="宋体"/>
                <w:b/>
                <w:bCs/>
                <w:sz w:val="24"/>
              </w:rPr>
              <w:t>签订地点：</w:t>
            </w:r>
            <w:r>
              <w:rPr>
                <w:rFonts w:hint="eastAsia" w:ascii="宋体" w:hAnsi="宋体" w:eastAsia="宋体" w:cs="宋体"/>
                <w:b/>
                <w:bCs/>
                <w:szCs w:val="21"/>
                <w:u w:val="single"/>
                <w:lang w:val="en-US" w:eastAsia="zh-CN"/>
              </w:rPr>
              <w:t>贵港</w:t>
            </w:r>
            <w:r>
              <w:rPr>
                <w:rFonts w:hint="eastAsia" w:ascii="宋体" w:hAnsi="宋体" w:eastAsia="宋体" w:cs="宋体"/>
                <w:b/>
                <w:bCs/>
                <w:szCs w:val="21"/>
                <w:u w:val="single"/>
                <w:lang w:eastAsia="zh-CN"/>
              </w:rPr>
              <w:t>市</w:t>
            </w:r>
          </w:p>
        </w:tc>
      </w:tr>
      <w:tr>
        <w:tblPrEx>
          <w:tblCellMar>
            <w:top w:w="0" w:type="dxa"/>
            <w:left w:w="108" w:type="dxa"/>
            <w:bottom w:w="0" w:type="dxa"/>
            <w:right w:w="108" w:type="dxa"/>
          </w:tblCellMar>
        </w:tblPrEx>
        <w:trPr>
          <w:trHeight w:val="90" w:hRule="atLeast"/>
        </w:trPr>
        <w:tc>
          <w:tcPr>
            <w:tcW w:w="4809" w:type="dxa"/>
          </w:tcPr>
          <w:p>
            <w:pPr>
              <w:tabs>
                <w:tab w:val="left" w:pos="6195"/>
              </w:tabs>
              <w:spacing w:line="400" w:lineRule="exact"/>
              <w:rPr>
                <w:rFonts w:ascii="宋体" w:hAnsi="宋体"/>
                <w:b/>
                <w:bCs/>
                <w:sz w:val="24"/>
              </w:rPr>
            </w:pPr>
          </w:p>
        </w:tc>
        <w:tc>
          <w:tcPr>
            <w:tcW w:w="4570" w:type="dxa"/>
          </w:tcPr>
          <w:p>
            <w:pPr>
              <w:tabs>
                <w:tab w:val="left" w:pos="6195"/>
              </w:tabs>
              <w:spacing w:line="400" w:lineRule="exact"/>
              <w:rPr>
                <w:rFonts w:ascii="宋体" w:hAnsi="宋体" w:eastAsia="宋体"/>
                <w:b/>
                <w:bCs/>
                <w:sz w:val="24"/>
              </w:rPr>
            </w:pPr>
          </w:p>
        </w:tc>
      </w:tr>
    </w:tbl>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rPr>
        <w:t>依据《中华人民共和国民法典》，为明确合同双方的权利与义务，甲乙双方本着平等互利、自愿一致的原则，经友好协商，达成一致意见，共同签订本买卖合同（以下简称“本合同”）。</w:t>
      </w:r>
    </w:p>
    <w:p>
      <w:pPr>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第一条  煤炭品名和数量</w:t>
      </w:r>
    </w:p>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rPr>
        <w:t>1.1 煤炭品名：</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 xml:space="preserve">  </w:t>
      </w:r>
    </w:p>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rPr>
        <w:t>1.2 煤炭数量：</w:t>
      </w:r>
      <w:r>
        <w:rPr>
          <w:rFonts w:hint="eastAsia" w:ascii="宋体" w:hAnsi="宋体" w:eastAsia="宋体" w:cs="宋体"/>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eastAsia="宋体" w:cs="宋体"/>
          <w:sz w:val="24"/>
        </w:rPr>
        <w:t>万吨，正负偏差</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eastAsia="宋体" w:cs="宋体"/>
          <w:sz w:val="24"/>
        </w:rPr>
        <w:t>%。</w:t>
      </w:r>
    </w:p>
    <w:p>
      <w:pPr>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第二条  交货方式、交货地、交货时间</w:t>
      </w:r>
    </w:p>
    <w:p>
      <w:pPr>
        <w:widowControl/>
        <w:tabs>
          <w:tab w:val="left" w:pos="720"/>
          <w:tab w:val="left" w:pos="2250"/>
        </w:tabs>
        <w:spacing w:line="400" w:lineRule="exact"/>
        <w:ind w:firstLine="480" w:firstLineChars="200"/>
        <w:jc w:val="left"/>
        <w:rPr>
          <w:rFonts w:ascii="宋体" w:hAnsi="宋体" w:eastAsia="宋体" w:cs="宋体"/>
          <w:b/>
          <w:bCs/>
          <w:sz w:val="24"/>
        </w:rPr>
      </w:pPr>
      <w:r>
        <w:rPr>
          <w:rFonts w:hint="eastAsia" w:ascii="宋体" w:hAnsi="宋体" w:eastAsia="宋体" w:cs="宋体"/>
          <w:sz w:val="24"/>
        </w:rPr>
        <w:t>2.1交货方式：</w:t>
      </w:r>
      <w:r>
        <w:rPr>
          <w:rFonts w:hint="eastAsia" w:ascii="宋体" w:hAnsi="宋体" w:eastAsia="宋体" w:cs="宋体"/>
          <w:b/>
          <w:bCs/>
          <w:sz w:val="24"/>
          <w:u w:val="single"/>
        </w:rPr>
        <w:t>港提交货</w:t>
      </w:r>
    </w:p>
    <w:p>
      <w:pPr>
        <w:tabs>
          <w:tab w:val="left" w:pos="6195"/>
        </w:tabs>
        <w:spacing w:line="400" w:lineRule="exact"/>
        <w:ind w:firstLine="480" w:firstLineChars="200"/>
        <w:rPr>
          <w:rFonts w:hint="default" w:ascii="宋体" w:hAnsi="宋体" w:eastAsia="宋体" w:cs="宋体"/>
          <w:bCs/>
          <w:sz w:val="24"/>
          <w:lang w:val="en-US"/>
        </w:rPr>
      </w:pPr>
      <w:r>
        <w:rPr>
          <w:rFonts w:hint="eastAsia" w:ascii="宋体" w:hAnsi="宋体" w:eastAsia="宋体" w:cs="宋体"/>
          <w:sz w:val="24"/>
        </w:rPr>
        <w:t>2.2供货单位：</w:t>
      </w:r>
      <w:r>
        <w:rPr>
          <w:rFonts w:hint="eastAsia" w:ascii="宋体" w:eastAsia="宋体" w:cs="宋体"/>
          <w:b/>
          <w:bCs/>
          <w:sz w:val="24"/>
          <w:u w:val="single"/>
          <w:lang w:val="en-US" w:eastAsia="zh-CN"/>
        </w:rPr>
        <w:t xml:space="preserve">                     </w:t>
      </w:r>
    </w:p>
    <w:p>
      <w:pPr>
        <w:widowControl/>
        <w:tabs>
          <w:tab w:val="left" w:pos="720"/>
          <w:tab w:val="left" w:pos="2250"/>
        </w:tabs>
        <w:spacing w:line="400" w:lineRule="exact"/>
        <w:ind w:firstLine="480" w:firstLineChars="200"/>
        <w:jc w:val="left"/>
        <w:rPr>
          <w:rFonts w:hint="default" w:ascii="宋体" w:hAnsi="宋体" w:eastAsia="宋体" w:cs="宋体"/>
          <w:b/>
          <w:bCs/>
          <w:sz w:val="24"/>
          <w:u w:val="single"/>
          <w:lang w:val="en-US"/>
        </w:rPr>
      </w:pPr>
      <w:r>
        <w:rPr>
          <w:rFonts w:hint="eastAsia" w:ascii="宋体" w:hAnsi="宋体" w:eastAsia="宋体" w:cs="宋体"/>
          <w:sz w:val="24"/>
        </w:rPr>
        <w:t>2.3交货地点：</w:t>
      </w:r>
      <w:r>
        <w:rPr>
          <w:rFonts w:hint="eastAsia" w:ascii="宋体" w:hAnsi="宋体" w:eastAsia="宋体" w:cs="宋体"/>
          <w:b/>
          <w:bCs/>
          <w:sz w:val="24"/>
          <w:u w:val="single"/>
          <w:lang w:val="en-US" w:eastAsia="zh-CN"/>
        </w:rPr>
        <w:t xml:space="preserve">              </w:t>
      </w:r>
    </w:p>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rPr>
        <w:t>2.4交货时间：</w:t>
      </w:r>
      <w:r>
        <w:rPr>
          <w:rFonts w:hint="eastAsia" w:ascii="宋体" w:hAnsi="宋体" w:eastAsia="宋体" w:cs="宋体"/>
          <w:b/>
          <w:bCs/>
          <w:sz w:val="24"/>
          <w:u w:val="single"/>
        </w:rPr>
        <w:t>202</w:t>
      </w:r>
      <w:r>
        <w:rPr>
          <w:rFonts w:hint="eastAsia" w:ascii="宋体" w:hAnsi="宋体" w:eastAsia="宋体" w:cs="宋体"/>
          <w:b/>
          <w:bCs/>
          <w:sz w:val="24"/>
          <w:u w:val="single"/>
          <w:lang w:val="en-US" w:eastAsia="zh-CN"/>
        </w:rPr>
        <w:t>4</w:t>
      </w:r>
      <w:r>
        <w:rPr>
          <w:rFonts w:hint="eastAsia" w:ascii="宋体" w:hAnsi="宋体" w:eastAsia="宋体" w:cs="宋体"/>
          <w:b/>
          <w:bCs/>
          <w:sz w:val="24"/>
          <w:u w:val="single"/>
        </w:rPr>
        <w:t>年</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月</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日前</w:t>
      </w:r>
    </w:p>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szCs w:val="24"/>
        </w:rPr>
        <w:t>2.5本</w:t>
      </w:r>
      <w:r>
        <w:rPr>
          <w:rFonts w:hint="eastAsia" w:ascii="宋体" w:hAnsi="宋体" w:eastAsia="宋体" w:cs="宋体"/>
          <w:sz w:val="24"/>
        </w:rPr>
        <w:t>合同实际交货时间以</w:t>
      </w:r>
      <w:r>
        <w:rPr>
          <w:rFonts w:hint="eastAsia" w:ascii="宋体" w:hAnsi="宋体" w:eastAsia="宋体" w:cs="宋体"/>
          <w:sz w:val="24"/>
          <w:u w:val="single"/>
        </w:rPr>
        <w:t>实际办理货权转移时间</w:t>
      </w:r>
      <w:r>
        <w:rPr>
          <w:rFonts w:hint="eastAsia" w:ascii="宋体" w:hAnsi="宋体" w:eastAsia="宋体" w:cs="宋体"/>
          <w:sz w:val="24"/>
        </w:rPr>
        <w:t>为准。交货时间以双方实际办理货权转移时间为准，若超出合同约定时间，每超一天扣</w:t>
      </w:r>
      <w:r>
        <w:rPr>
          <w:rFonts w:hint="eastAsia" w:ascii="宋体" w:hAnsi="宋体" w:eastAsia="宋体" w:cs="宋体"/>
          <w:sz w:val="24"/>
          <w:lang w:val="en-US" w:eastAsia="zh-CN"/>
        </w:rPr>
        <w:t>2</w:t>
      </w:r>
      <w:r>
        <w:rPr>
          <w:rFonts w:hint="eastAsia" w:ascii="宋体" w:hAnsi="宋体" w:eastAsia="宋体" w:cs="宋体"/>
          <w:sz w:val="24"/>
        </w:rPr>
        <w:t>元/吨，不足一天按一天计算。且甲方根据市场行情有权拒收。</w:t>
      </w:r>
    </w:p>
    <w:p>
      <w:pPr>
        <w:widowControl/>
        <w:tabs>
          <w:tab w:val="left" w:pos="720"/>
          <w:tab w:val="left" w:pos="2250"/>
        </w:tabs>
        <w:spacing w:line="400" w:lineRule="exact"/>
        <w:ind w:firstLine="482" w:firstLineChars="200"/>
        <w:jc w:val="left"/>
        <w:rPr>
          <w:rFonts w:ascii="宋体" w:hAnsi="宋体" w:eastAsia="宋体" w:cs="宋体"/>
          <w:b/>
        </w:rPr>
      </w:pPr>
      <w:r>
        <w:rPr>
          <w:rFonts w:hint="eastAsia" w:ascii="宋体" w:hAnsi="宋体" w:eastAsia="宋体" w:cs="宋体"/>
          <w:b/>
          <w:sz w:val="24"/>
        </w:rPr>
        <w:t>第三条  煤质要求</w:t>
      </w:r>
      <w:r>
        <w:rPr>
          <w:rFonts w:hint="eastAsia" w:ascii="宋体" w:hAnsi="宋体" w:eastAsia="宋体" w:cs="宋体"/>
          <w:b/>
        </w:rPr>
        <w:t>：</w:t>
      </w:r>
    </w:p>
    <w:p>
      <w:pPr>
        <w:widowControl/>
        <w:tabs>
          <w:tab w:val="left" w:pos="720"/>
          <w:tab w:val="left" w:pos="2250"/>
        </w:tabs>
        <w:spacing w:line="400" w:lineRule="exact"/>
        <w:ind w:firstLine="480" w:firstLineChars="200"/>
        <w:jc w:val="left"/>
        <w:rPr>
          <w:rFonts w:ascii="宋体" w:hAnsi="宋体" w:eastAsia="宋体" w:cs="宋体"/>
          <w:sz w:val="24"/>
        </w:rPr>
      </w:pPr>
      <w:r>
        <w:rPr>
          <w:rFonts w:hint="eastAsia" w:ascii="宋体" w:hAnsi="宋体" w:eastAsia="宋体" w:cs="宋体"/>
          <w:sz w:val="24"/>
        </w:rPr>
        <w:t>3.1具体煤质参数要求见表1：</w:t>
      </w:r>
    </w:p>
    <w:p>
      <w:pPr>
        <w:pStyle w:val="8"/>
        <w:spacing w:line="400" w:lineRule="exact"/>
        <w:ind w:firstLine="240"/>
        <w:jc w:val="center"/>
        <w:rPr>
          <w:sz w:val="24"/>
        </w:rPr>
      </w:pPr>
      <w:r>
        <w:rPr>
          <w:rFonts w:hint="eastAsia"/>
          <w:sz w:val="24"/>
        </w:rPr>
        <w:t>表1：煤质参数要求</w:t>
      </w:r>
    </w:p>
    <w:tbl>
      <w:tblPr>
        <w:tblStyle w:val="9"/>
        <w:tblW w:w="8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1305"/>
        <w:gridCol w:w="1335"/>
        <w:gridCol w:w="1605"/>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11"/>
                <w:rFonts w:ascii="宋体" w:hAnsi="宋体" w:eastAsia="宋体"/>
                <w:sz w:val="24"/>
                <w:szCs w:val="24"/>
              </w:rPr>
            </w:pPr>
            <w:r>
              <w:rPr>
                <w:rStyle w:val="11"/>
                <w:rFonts w:hint="eastAsia" w:ascii="宋体" w:hAnsi="宋体"/>
                <w:sz w:val="24"/>
                <w:szCs w:val="24"/>
              </w:rPr>
              <w:t>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11"/>
                <w:rFonts w:ascii="宋体" w:hAnsi="宋体" w:eastAsia="宋体"/>
                <w:sz w:val="24"/>
                <w:szCs w:val="24"/>
              </w:rPr>
            </w:pPr>
            <w:r>
              <w:rPr>
                <w:rStyle w:val="11"/>
                <w:rFonts w:hint="eastAsia" w:ascii="宋体" w:hAnsi="宋体"/>
                <w:sz w:val="24"/>
                <w:szCs w:val="24"/>
              </w:rPr>
              <w:t>符号</w:t>
            </w: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11"/>
                <w:rFonts w:ascii="宋体" w:hAnsi="宋体" w:eastAsia="宋体"/>
                <w:sz w:val="24"/>
                <w:szCs w:val="24"/>
              </w:rPr>
            </w:pPr>
            <w:r>
              <w:rPr>
                <w:rStyle w:val="11"/>
                <w:rFonts w:hint="eastAsia" w:ascii="宋体" w:hAnsi="宋体"/>
                <w:sz w:val="24"/>
                <w:szCs w:val="24"/>
              </w:rPr>
              <w:t>基准</w:t>
            </w:r>
          </w:p>
        </w:tc>
        <w:tc>
          <w:tcPr>
            <w:tcW w:w="16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11"/>
                <w:rFonts w:ascii="宋体" w:hAnsi="宋体" w:eastAsia="宋体"/>
                <w:sz w:val="24"/>
                <w:szCs w:val="24"/>
              </w:rPr>
            </w:pPr>
            <w:r>
              <w:rPr>
                <w:rStyle w:val="11"/>
                <w:rFonts w:hint="eastAsia" w:ascii="宋体" w:hAnsi="宋体"/>
                <w:sz w:val="24"/>
                <w:szCs w:val="24"/>
              </w:rPr>
              <w:t>数值</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11"/>
                <w:rFonts w:ascii="宋体" w:hAnsi="宋体" w:eastAsia="宋体"/>
                <w:sz w:val="24"/>
                <w:szCs w:val="24"/>
              </w:rPr>
            </w:pPr>
            <w:r>
              <w:rPr>
                <w:rStyle w:val="11"/>
                <w:rFonts w:hint="eastAsia" w:ascii="宋体" w:hAnsi="宋体"/>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sz w:val="24"/>
                <w:szCs w:val="24"/>
              </w:rPr>
            </w:pPr>
            <w:r>
              <w:rPr>
                <w:rFonts w:hint="eastAsia" w:ascii="宋体"/>
                <w:szCs w:val="21"/>
              </w:rPr>
              <w:t>收到基低位发热量</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sz w:val="24"/>
                <w:szCs w:val="24"/>
              </w:rPr>
            </w:pPr>
            <w:r>
              <w:rPr>
                <w:rFonts w:hint="eastAsia" w:ascii="宋体" w:hAnsi="Times New Roman" w:eastAsia="宋体" w:cs="宋体"/>
                <w:szCs w:val="21"/>
              </w:rPr>
              <w:t>Qnet,ar</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Times New Roman"/>
                <w:szCs w:val="21"/>
              </w:rPr>
            </w:pPr>
            <w:r>
              <w:rPr>
                <w:rFonts w:hint="eastAsia" w:ascii="宋体"/>
                <w:szCs w:val="21"/>
              </w:rPr>
              <w:t>kcal/kg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sz w:val="24"/>
                <w:szCs w:val="24"/>
              </w:rPr>
            </w:pPr>
            <w:r>
              <w:rPr>
                <w:rFonts w:hint="eastAsia" w:ascii="宋体"/>
                <w:szCs w:val="21"/>
              </w:rPr>
              <w:t>空气干燥基全硫</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sz w:val="24"/>
                <w:szCs w:val="24"/>
              </w:rPr>
            </w:pPr>
            <w:r>
              <w:rPr>
                <w:rFonts w:hint="eastAsia" w:ascii="宋体" w:hAnsi="Times New Roman" w:eastAsia="宋体" w:cs="宋体"/>
                <w:szCs w:val="21"/>
              </w:rPr>
              <w:t>St,ad</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Times New Roman"/>
                <w:szCs w:val="21"/>
              </w:rPr>
            </w:pPr>
            <w:r>
              <w:rPr>
                <w:rFonts w:hint="eastAsia" w:asci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sz w:val="24"/>
                <w:szCs w:val="24"/>
              </w:rPr>
            </w:pPr>
            <w:r>
              <w:rPr>
                <w:rFonts w:hint="eastAsia" w:ascii="宋体"/>
                <w:szCs w:val="21"/>
              </w:rPr>
              <w:t>空干基挥发分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Vad</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Times New Roman"/>
                <w:szCs w:val="21"/>
              </w:rPr>
            </w:pPr>
            <w:r>
              <w:rPr>
                <w:rFonts w:hint="eastAsia" w:asci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sz w:val="24"/>
                <w:szCs w:val="24"/>
              </w:rPr>
            </w:pPr>
            <w:r>
              <w:rPr>
                <w:rFonts w:hint="eastAsia" w:ascii="宋体"/>
                <w:szCs w:val="21"/>
              </w:rPr>
              <w:t>灰熔融性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ST</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Times New Roman"/>
                <w:szCs w:val="21"/>
              </w:rPr>
            </w:pPr>
            <w:r>
              <w:rPr>
                <w:rFonts w:hint="eastAsia" w:asci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sz w:val="24"/>
                <w:szCs w:val="24"/>
              </w:rPr>
            </w:pPr>
            <w:r>
              <w:rPr>
                <w:rFonts w:hint="eastAsia" w:ascii="宋体" w:hAnsi="Times New Roman" w:eastAsia="宋体" w:cs="宋体"/>
                <w:szCs w:val="21"/>
              </w:rPr>
              <w:t>灰分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Aad</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vAlign w:val="center"/>
          </w:tcPr>
          <w:p>
            <w:pPr>
              <w:widowControl/>
              <w:spacing w:line="360" w:lineRule="auto"/>
              <w:jc w:val="center"/>
              <w:rPr>
                <w:rFonts w:ascii="宋体" w:hAnsi="宋体" w:eastAsia="宋体"/>
                <w:sz w:val="24"/>
                <w:szCs w:val="24"/>
              </w:rPr>
            </w:pPr>
            <w:r>
              <w:rPr>
                <w:rFonts w:hint="eastAsia" w:ascii="宋体" w:cs="宋体"/>
                <w:szCs w:val="21"/>
              </w:rPr>
              <w:t>全水分</w:t>
            </w:r>
          </w:p>
        </w:tc>
        <w:tc>
          <w:tcPr>
            <w:tcW w:w="1305" w:type="dxa"/>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Mt</w:t>
            </w:r>
          </w:p>
        </w:tc>
        <w:tc>
          <w:tcPr>
            <w:tcW w:w="1335" w:type="dxa"/>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vAlign w:val="center"/>
          </w:tcPr>
          <w:p>
            <w:pPr>
              <w:widowControl/>
              <w:spacing w:line="360" w:lineRule="auto"/>
              <w:jc w:val="center"/>
              <w:rPr>
                <w:rFonts w:hint="default" w:ascii="宋体" w:hAnsi="Times New Roman" w:eastAsia="宋体" w:cs="宋体"/>
                <w:szCs w:val="21"/>
                <w:lang w:val="en-US"/>
              </w:rPr>
            </w:pPr>
          </w:p>
        </w:tc>
        <w:tc>
          <w:tcPr>
            <w:tcW w:w="1560" w:type="dxa"/>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2202" w:type="dxa"/>
            <w:vAlign w:val="center"/>
          </w:tcPr>
          <w:p>
            <w:pPr>
              <w:widowControl/>
              <w:spacing w:line="360" w:lineRule="auto"/>
              <w:jc w:val="center"/>
              <w:rPr>
                <w:rFonts w:ascii="宋体" w:cs="宋体"/>
                <w:szCs w:val="21"/>
              </w:rPr>
            </w:pPr>
            <w:r>
              <w:rPr>
                <w:rFonts w:hint="eastAsia" w:ascii="宋体" w:cs="宋体"/>
                <w:szCs w:val="21"/>
              </w:rPr>
              <w:t>哈氏可磨指数</w:t>
            </w:r>
          </w:p>
        </w:tc>
        <w:tc>
          <w:tcPr>
            <w:tcW w:w="1305" w:type="dxa"/>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HGI</w:t>
            </w:r>
          </w:p>
        </w:tc>
        <w:tc>
          <w:tcPr>
            <w:tcW w:w="1335" w:type="dxa"/>
            <w:vAlign w:val="center"/>
          </w:tcPr>
          <w:p>
            <w:pPr>
              <w:widowControl/>
              <w:spacing w:line="360" w:lineRule="auto"/>
              <w:jc w:val="center"/>
              <w:rPr>
                <w:rFonts w:ascii="宋体" w:hAnsi="Times New Roman" w:eastAsia="宋体" w:cs="宋体"/>
                <w:szCs w:val="21"/>
              </w:rPr>
            </w:pPr>
            <w:r>
              <w:rPr>
                <w:rFonts w:hint="eastAsia" w:ascii="宋体" w:hAnsi="Times New Roman" w:eastAsia="宋体" w:cs="宋体"/>
                <w:szCs w:val="21"/>
              </w:rPr>
              <w:t>≥</w:t>
            </w:r>
          </w:p>
        </w:tc>
        <w:tc>
          <w:tcPr>
            <w:tcW w:w="1605" w:type="dxa"/>
            <w:vAlign w:val="center"/>
          </w:tcPr>
          <w:p>
            <w:pPr>
              <w:widowControl/>
              <w:spacing w:line="360" w:lineRule="auto"/>
              <w:jc w:val="center"/>
              <w:rPr>
                <w:rFonts w:ascii="宋体" w:hAnsi="Times New Roman" w:eastAsia="宋体" w:cs="宋体"/>
                <w:szCs w:val="21"/>
              </w:rPr>
            </w:pPr>
          </w:p>
        </w:tc>
        <w:tc>
          <w:tcPr>
            <w:tcW w:w="1560" w:type="dxa"/>
            <w:vAlign w:val="center"/>
          </w:tcPr>
          <w:p>
            <w:pPr>
              <w:widowControl/>
              <w:spacing w:line="360" w:lineRule="auto"/>
              <w:jc w:val="center"/>
              <w:rPr>
                <w:rFonts w:ascii="宋体" w:hAnsi="Times New Roman" w:eastAsia="宋体" w:cs="宋体"/>
                <w:szCs w:val="21"/>
              </w:rPr>
            </w:pPr>
          </w:p>
        </w:tc>
      </w:tr>
    </w:tbl>
    <w:p>
      <w:pPr>
        <w:spacing w:line="400" w:lineRule="exact"/>
        <w:ind w:firstLine="420" w:firstLineChars="200"/>
        <w:jc w:val="left"/>
        <w:rPr>
          <w:rFonts w:ascii="宋体" w:hAnsi="宋体" w:eastAsia="宋体" w:cs="宋体"/>
        </w:rPr>
      </w:pPr>
    </w:p>
    <w:p>
      <w:pPr>
        <w:pStyle w:val="5"/>
        <w:adjustRightInd w:val="0"/>
        <w:snapToGrid w:val="0"/>
        <w:spacing w:line="400" w:lineRule="exact"/>
        <w:ind w:firstLine="482" w:firstLineChars="200"/>
        <w:rPr>
          <w:rFonts w:eastAsia="宋体" w:cs="宋体"/>
          <w:b/>
          <w:sz w:val="24"/>
        </w:rPr>
      </w:pPr>
      <w:r>
        <w:rPr>
          <w:rFonts w:hint="eastAsia" w:eastAsia="宋体" w:cs="宋体"/>
          <w:b/>
          <w:sz w:val="24"/>
        </w:rPr>
        <w:t>第四条  煤炭价格</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4.1 基准港提价：</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收到基低位发热量</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kcal/kg，一票含税价格</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元/吨（含13%增值税，其中不含税价格</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元/吨，税</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元/吨，若本合同执行期间出现增值税税率调整的情况，则合同不含税价不变，以调整后的增值税税率计算基准含税价）。</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4.2 结算单价（一票含税）=基准港提价±质量调整价，小数点后保留两位。</w:t>
      </w:r>
    </w:p>
    <w:p>
      <w:pPr>
        <w:spacing w:line="440" w:lineRule="exact"/>
        <w:ind w:firstLine="480" w:firstLineChars="200"/>
        <w:rPr>
          <w:rFonts w:ascii="宋体" w:hAnsi="宋体" w:eastAsia="宋体" w:cs="宋体"/>
          <w:sz w:val="24"/>
        </w:rPr>
      </w:pPr>
      <w:r>
        <w:rPr>
          <w:rFonts w:hint="eastAsia" w:ascii="宋体" w:hAnsi="宋体" w:eastAsia="宋体" w:cs="宋体"/>
          <w:sz w:val="24"/>
        </w:rPr>
        <w:t>4.3质量调整价：</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002"/>
        <w:gridCol w:w="886"/>
        <w:gridCol w:w="2784"/>
        <w:gridCol w:w="909"/>
        <w:gridCol w:w="852"/>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8" w:type="dxa"/>
            <w:vAlign w:val="center"/>
          </w:tcPr>
          <w:p>
            <w:pPr>
              <w:spacing w:line="440" w:lineRule="exact"/>
              <w:jc w:val="left"/>
              <w:rPr>
                <w:rFonts w:ascii="宋体"/>
                <w:szCs w:val="21"/>
              </w:rPr>
            </w:pPr>
            <w:r>
              <w:rPr>
                <w:rFonts w:hint="eastAsia" w:ascii="宋体" w:hAnsi="宋体"/>
                <w:szCs w:val="21"/>
              </w:rPr>
              <w:t xml:space="preserve">  </w:t>
            </w:r>
            <w:r>
              <w:rPr>
                <w:rFonts w:hint="eastAsia" w:ascii="宋体"/>
                <w:sz w:val="18"/>
                <w:szCs w:val="18"/>
              </w:rPr>
              <w:t>奖罚标准</w:t>
            </w:r>
          </w:p>
        </w:tc>
        <w:tc>
          <w:tcPr>
            <w:tcW w:w="1888" w:type="dxa"/>
            <w:gridSpan w:val="2"/>
            <w:vAlign w:val="center"/>
          </w:tcPr>
          <w:p>
            <w:pPr>
              <w:spacing w:line="440" w:lineRule="exact"/>
              <w:ind w:left="183" w:leftChars="87" w:firstLine="180" w:firstLineChars="100"/>
              <w:jc w:val="left"/>
              <w:rPr>
                <w:rFonts w:ascii="宋体"/>
                <w:szCs w:val="21"/>
              </w:rPr>
            </w:pPr>
            <w:r>
              <w:rPr>
                <w:rFonts w:hint="eastAsia" w:ascii="宋体"/>
                <w:sz w:val="18"/>
                <w:szCs w:val="18"/>
              </w:rPr>
              <w:t>奖罚范围</w:t>
            </w:r>
          </w:p>
        </w:tc>
        <w:tc>
          <w:tcPr>
            <w:tcW w:w="2784" w:type="dxa"/>
            <w:vAlign w:val="center"/>
          </w:tcPr>
          <w:p>
            <w:pPr>
              <w:spacing w:line="440" w:lineRule="exact"/>
              <w:ind w:left="183" w:leftChars="87" w:firstLine="180" w:firstLineChars="100"/>
              <w:jc w:val="center"/>
              <w:rPr>
                <w:rFonts w:ascii="宋体"/>
                <w:szCs w:val="21"/>
              </w:rPr>
            </w:pPr>
            <w:r>
              <w:rPr>
                <w:rFonts w:hint="eastAsia" w:ascii="宋体"/>
                <w:sz w:val="18"/>
                <w:szCs w:val="18"/>
              </w:rPr>
              <w:t>奖罚幅度</w:t>
            </w:r>
          </w:p>
        </w:tc>
        <w:tc>
          <w:tcPr>
            <w:tcW w:w="2472" w:type="dxa"/>
            <w:gridSpan w:val="3"/>
            <w:vAlign w:val="center"/>
          </w:tcPr>
          <w:p>
            <w:pPr>
              <w:spacing w:line="440" w:lineRule="exact"/>
              <w:ind w:left="183" w:leftChars="87" w:firstLine="180" w:firstLineChars="100"/>
              <w:jc w:val="left"/>
              <w:rPr>
                <w:rFonts w:ascii="宋体"/>
                <w:szCs w:val="21"/>
              </w:rPr>
            </w:pPr>
            <w:r>
              <w:rPr>
                <w:rFonts w:hint="eastAsia" w:ascii="宋体"/>
                <w:sz w:val="18"/>
                <w:szCs w:val="18"/>
              </w:rPr>
              <w:t>奖罚金额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8" w:type="dxa"/>
            <w:vAlign w:val="center"/>
          </w:tcPr>
          <w:p>
            <w:pPr>
              <w:spacing w:line="360" w:lineRule="auto"/>
              <w:jc w:val="center"/>
              <w:rPr>
                <w:rFonts w:ascii="宋体"/>
                <w:szCs w:val="21"/>
              </w:rPr>
            </w:pPr>
            <w:r>
              <w:rPr>
                <w:rFonts w:hint="eastAsia" w:ascii="宋体"/>
                <w:sz w:val="18"/>
                <w:szCs w:val="18"/>
              </w:rPr>
              <w:t>当Qnet,ar﹤</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Kcal/kg</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减价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Cs w:val="21"/>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8" w:type="dxa"/>
            <w:vAlign w:val="center"/>
          </w:tcPr>
          <w:p>
            <w:pPr>
              <w:spacing w:line="360" w:lineRule="auto"/>
              <w:jc w:val="center"/>
              <w:rPr>
                <w:rFonts w:ascii="宋体"/>
                <w:szCs w:val="21"/>
              </w:rPr>
            </w:pPr>
            <w:r>
              <w:rPr>
                <w:rFonts w:hint="eastAsia" w:ascii="宋体"/>
                <w:sz w:val="18"/>
                <w:szCs w:val="18"/>
              </w:rPr>
              <w:t>当Qnet,ar=</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kcal/kg</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减价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Cs w:val="21"/>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8" w:type="dxa"/>
            <w:vAlign w:val="center"/>
          </w:tcPr>
          <w:p>
            <w:pPr>
              <w:spacing w:line="360" w:lineRule="auto"/>
              <w:jc w:val="center"/>
              <w:rPr>
                <w:rFonts w:ascii="宋体"/>
                <w:sz w:val="18"/>
                <w:szCs w:val="18"/>
              </w:rPr>
            </w:pPr>
            <w:r>
              <w:rPr>
                <w:rFonts w:hint="eastAsia" w:ascii="宋体"/>
                <w:sz w:val="18"/>
                <w:szCs w:val="18"/>
              </w:rPr>
              <w:t>当Qnet,ar=</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kcal/kg</w:t>
            </w:r>
          </w:p>
        </w:tc>
        <w:tc>
          <w:tcPr>
            <w:tcW w:w="2784" w:type="dxa"/>
            <w:vAlign w:val="center"/>
          </w:tcPr>
          <w:p>
            <w:pPr>
              <w:spacing w:line="360" w:lineRule="auto"/>
              <w:jc w:val="center"/>
              <w:rPr>
                <w:rFonts w:ascii="宋体"/>
                <w:sz w:val="18"/>
                <w:szCs w:val="18"/>
              </w:rPr>
            </w:pPr>
          </w:p>
        </w:tc>
        <w:tc>
          <w:tcPr>
            <w:tcW w:w="2472" w:type="dxa"/>
            <w:gridSpan w:val="3"/>
            <w:vAlign w:val="center"/>
          </w:tcPr>
          <w:p>
            <w:pPr>
              <w:spacing w:line="360" w:lineRule="auto"/>
              <w:jc w:val="center"/>
              <w:rPr>
                <w:rFonts w:ascii="宋体"/>
                <w:sz w:val="18"/>
                <w:szCs w:val="18"/>
              </w:rPr>
            </w:pPr>
            <w:r>
              <w:rPr>
                <w:rFonts w:hint="eastAsia" w:ascii="宋体"/>
                <w:sz w:val="18"/>
                <w:szCs w:val="18"/>
              </w:rPr>
              <w:t>不奖不罚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8" w:type="dxa"/>
            <w:vAlign w:val="center"/>
          </w:tcPr>
          <w:p>
            <w:pPr>
              <w:spacing w:line="360" w:lineRule="auto"/>
              <w:jc w:val="center"/>
              <w:rPr>
                <w:rFonts w:ascii="宋体"/>
                <w:szCs w:val="21"/>
              </w:rPr>
            </w:pPr>
            <w:r>
              <w:rPr>
                <w:rFonts w:hint="eastAsia" w:ascii="宋体"/>
                <w:sz w:val="18"/>
                <w:szCs w:val="18"/>
              </w:rPr>
              <w:t>当Qnet,ar&gt;</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kcal/kg</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加价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Cs w:val="21"/>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78" w:type="dxa"/>
            <w:vAlign w:val="center"/>
          </w:tcPr>
          <w:p>
            <w:pPr>
              <w:spacing w:line="360" w:lineRule="auto"/>
              <w:jc w:val="center"/>
              <w:rPr>
                <w:rFonts w:ascii="宋体"/>
                <w:szCs w:val="21"/>
              </w:rPr>
            </w:pPr>
            <w:r>
              <w:rPr>
                <w:rFonts w:hint="eastAsia" w:ascii="宋体"/>
                <w:sz w:val="18"/>
                <w:szCs w:val="18"/>
              </w:rPr>
              <w:t>当St,ad&gt;</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减价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Cs w:val="21"/>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78" w:type="dxa"/>
            <w:vAlign w:val="center"/>
          </w:tcPr>
          <w:p>
            <w:pPr>
              <w:spacing w:line="360" w:lineRule="auto"/>
              <w:jc w:val="center"/>
              <w:rPr>
                <w:rFonts w:ascii="宋体"/>
                <w:szCs w:val="21"/>
              </w:rPr>
            </w:pPr>
            <w:r>
              <w:rPr>
                <w:rFonts w:hint="eastAsia" w:ascii="宋体"/>
                <w:sz w:val="18"/>
                <w:szCs w:val="18"/>
              </w:rPr>
              <w:t>当St,ad&gt;</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减价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Cs w:val="21"/>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78" w:type="dxa"/>
            <w:vAlign w:val="center"/>
          </w:tcPr>
          <w:p>
            <w:pPr>
              <w:spacing w:line="360" w:lineRule="auto"/>
              <w:jc w:val="center"/>
              <w:rPr>
                <w:rFonts w:ascii="宋体"/>
                <w:sz w:val="18"/>
                <w:szCs w:val="18"/>
              </w:rPr>
            </w:pPr>
            <w:r>
              <w:rPr>
                <w:rFonts w:hint="eastAsia" w:ascii="宋体"/>
                <w:sz w:val="18"/>
                <w:szCs w:val="18"/>
              </w:rPr>
              <w:t>当Vad＜</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sz w:val="18"/>
                <w:szCs w:val="18"/>
              </w:rPr>
              <w:t>%</w:t>
            </w:r>
          </w:p>
        </w:tc>
        <w:tc>
          <w:tcPr>
            <w:tcW w:w="2784" w:type="dxa"/>
            <w:vAlign w:val="center"/>
          </w:tcPr>
          <w:p>
            <w:pPr>
              <w:spacing w:line="360" w:lineRule="auto"/>
              <w:jc w:val="center"/>
              <w:rPr>
                <w:rFonts w:ascii="宋体"/>
                <w:sz w:val="18"/>
                <w:szCs w:val="18"/>
              </w:rPr>
            </w:pPr>
          </w:p>
        </w:tc>
        <w:tc>
          <w:tcPr>
            <w:tcW w:w="909" w:type="dxa"/>
            <w:vAlign w:val="center"/>
          </w:tcPr>
          <w:p>
            <w:pPr>
              <w:spacing w:line="360" w:lineRule="auto"/>
              <w:jc w:val="center"/>
              <w:rPr>
                <w:rFonts w:ascii="宋体"/>
                <w:sz w:val="18"/>
                <w:szCs w:val="18"/>
              </w:rPr>
            </w:pPr>
            <w:r>
              <w:rPr>
                <w:rFonts w:hint="eastAsia" w:ascii="宋体"/>
                <w:sz w:val="18"/>
                <w:szCs w:val="18"/>
              </w:rPr>
              <w:t>减价</w:t>
            </w:r>
          </w:p>
        </w:tc>
        <w:tc>
          <w:tcPr>
            <w:tcW w:w="852" w:type="dxa"/>
            <w:vAlign w:val="center"/>
          </w:tcPr>
          <w:p>
            <w:pPr>
              <w:spacing w:line="360" w:lineRule="auto"/>
              <w:jc w:val="center"/>
              <w:rPr>
                <w:rFonts w:ascii="宋体"/>
                <w:sz w:val="18"/>
                <w:szCs w:val="18"/>
              </w:rPr>
            </w:pPr>
          </w:p>
        </w:tc>
        <w:tc>
          <w:tcPr>
            <w:tcW w:w="711" w:type="dxa"/>
            <w:vAlign w:val="center"/>
          </w:tcPr>
          <w:p>
            <w:pPr>
              <w:spacing w:line="360" w:lineRule="auto"/>
              <w:jc w:val="center"/>
              <w:rPr>
                <w:rFonts w:ascii="宋体"/>
                <w:sz w:val="18"/>
                <w:szCs w:val="18"/>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78" w:type="dxa"/>
            <w:vAlign w:val="center"/>
          </w:tcPr>
          <w:p>
            <w:pPr>
              <w:widowControl/>
              <w:spacing w:line="400" w:lineRule="exact"/>
              <w:jc w:val="center"/>
              <w:rPr>
                <w:rFonts w:ascii="宋体"/>
                <w:sz w:val="18"/>
                <w:szCs w:val="18"/>
              </w:rPr>
            </w:pPr>
            <w:r>
              <w:rPr>
                <w:rFonts w:hint="eastAsia" w:ascii="宋体"/>
                <w:sz w:val="18"/>
                <w:szCs w:val="18"/>
              </w:rPr>
              <w:t>当Aad&gt;</w:t>
            </w:r>
          </w:p>
        </w:tc>
        <w:tc>
          <w:tcPr>
            <w:tcW w:w="1002" w:type="dxa"/>
            <w:vAlign w:val="center"/>
          </w:tcPr>
          <w:p>
            <w:pPr>
              <w:widowControl/>
              <w:spacing w:line="400" w:lineRule="exact"/>
              <w:jc w:val="center"/>
              <w:rPr>
                <w:rFonts w:hint="eastAsia" w:ascii="宋体" w:eastAsiaTheme="minorEastAsia"/>
                <w:sz w:val="18"/>
                <w:szCs w:val="18"/>
                <w:lang w:eastAsia="zh-CN"/>
              </w:rPr>
            </w:pPr>
          </w:p>
        </w:tc>
        <w:tc>
          <w:tcPr>
            <w:tcW w:w="886" w:type="dxa"/>
            <w:vAlign w:val="center"/>
          </w:tcPr>
          <w:p>
            <w:pPr>
              <w:widowControl/>
              <w:spacing w:line="400" w:lineRule="exact"/>
              <w:jc w:val="center"/>
              <w:rPr>
                <w:rFonts w:ascii="宋体"/>
                <w:sz w:val="18"/>
                <w:szCs w:val="18"/>
              </w:rPr>
            </w:pPr>
            <w:r>
              <w:rPr>
                <w:rFonts w:hint="eastAsia" w:ascii="宋体"/>
                <w:sz w:val="18"/>
                <w:szCs w:val="18"/>
              </w:rPr>
              <w:t>%</w:t>
            </w:r>
          </w:p>
        </w:tc>
        <w:tc>
          <w:tcPr>
            <w:tcW w:w="2784" w:type="dxa"/>
            <w:vAlign w:val="center"/>
          </w:tcPr>
          <w:p>
            <w:pPr>
              <w:widowControl/>
              <w:spacing w:line="400" w:lineRule="exact"/>
              <w:jc w:val="center"/>
              <w:rPr>
                <w:rFonts w:ascii="宋体"/>
                <w:sz w:val="18"/>
                <w:szCs w:val="18"/>
              </w:rPr>
            </w:pPr>
          </w:p>
        </w:tc>
        <w:tc>
          <w:tcPr>
            <w:tcW w:w="909" w:type="dxa"/>
            <w:vAlign w:val="center"/>
          </w:tcPr>
          <w:p>
            <w:pPr>
              <w:widowControl/>
              <w:spacing w:line="400" w:lineRule="exact"/>
              <w:jc w:val="center"/>
              <w:rPr>
                <w:rFonts w:ascii="宋体"/>
                <w:sz w:val="18"/>
                <w:szCs w:val="18"/>
              </w:rPr>
            </w:pPr>
            <w:r>
              <w:rPr>
                <w:rFonts w:hint="eastAsia" w:ascii="宋体"/>
                <w:sz w:val="18"/>
                <w:szCs w:val="18"/>
              </w:rPr>
              <w:t>减价</w:t>
            </w:r>
          </w:p>
        </w:tc>
        <w:tc>
          <w:tcPr>
            <w:tcW w:w="852" w:type="dxa"/>
            <w:vAlign w:val="center"/>
          </w:tcPr>
          <w:p>
            <w:pPr>
              <w:widowControl/>
              <w:spacing w:line="400" w:lineRule="exact"/>
              <w:jc w:val="center"/>
              <w:rPr>
                <w:rFonts w:ascii="宋体"/>
                <w:sz w:val="18"/>
                <w:szCs w:val="18"/>
              </w:rPr>
            </w:pPr>
          </w:p>
        </w:tc>
        <w:tc>
          <w:tcPr>
            <w:tcW w:w="711" w:type="dxa"/>
            <w:vAlign w:val="center"/>
          </w:tcPr>
          <w:p>
            <w:pPr>
              <w:widowControl/>
              <w:spacing w:line="400" w:lineRule="exact"/>
              <w:jc w:val="center"/>
              <w:rPr>
                <w:rFonts w:ascii="宋体"/>
                <w:sz w:val="18"/>
                <w:szCs w:val="18"/>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78" w:type="dxa"/>
            <w:vAlign w:val="center"/>
          </w:tcPr>
          <w:p>
            <w:pPr>
              <w:widowControl/>
              <w:spacing w:line="400" w:lineRule="exact"/>
              <w:jc w:val="center"/>
              <w:rPr>
                <w:rFonts w:ascii="宋体"/>
                <w:sz w:val="18"/>
                <w:szCs w:val="18"/>
              </w:rPr>
            </w:pPr>
            <w:r>
              <w:rPr>
                <w:rFonts w:hint="eastAsia" w:ascii="宋体"/>
                <w:sz w:val="18"/>
                <w:szCs w:val="18"/>
              </w:rPr>
              <w:t>当H</w:t>
            </w:r>
            <w:r>
              <w:rPr>
                <w:rFonts w:ascii="宋体"/>
                <w:sz w:val="18"/>
                <w:szCs w:val="18"/>
              </w:rPr>
              <w:t>GI&lt;</w:t>
            </w:r>
          </w:p>
        </w:tc>
        <w:tc>
          <w:tcPr>
            <w:tcW w:w="1002" w:type="dxa"/>
            <w:vAlign w:val="center"/>
          </w:tcPr>
          <w:p>
            <w:pPr>
              <w:widowControl/>
              <w:spacing w:line="400" w:lineRule="exact"/>
              <w:jc w:val="center"/>
              <w:rPr>
                <w:rFonts w:ascii="宋体"/>
                <w:sz w:val="18"/>
                <w:szCs w:val="18"/>
              </w:rPr>
            </w:pPr>
          </w:p>
        </w:tc>
        <w:tc>
          <w:tcPr>
            <w:tcW w:w="886" w:type="dxa"/>
            <w:vAlign w:val="center"/>
          </w:tcPr>
          <w:p>
            <w:pPr>
              <w:widowControl/>
              <w:spacing w:line="400" w:lineRule="exact"/>
              <w:jc w:val="center"/>
              <w:rPr>
                <w:rFonts w:ascii="宋体"/>
                <w:sz w:val="18"/>
                <w:szCs w:val="18"/>
              </w:rPr>
            </w:pPr>
          </w:p>
        </w:tc>
        <w:tc>
          <w:tcPr>
            <w:tcW w:w="2784" w:type="dxa"/>
            <w:vAlign w:val="center"/>
          </w:tcPr>
          <w:p>
            <w:pPr>
              <w:widowControl/>
              <w:spacing w:line="400" w:lineRule="exact"/>
              <w:jc w:val="center"/>
              <w:rPr>
                <w:rFonts w:ascii="宋体"/>
                <w:sz w:val="18"/>
                <w:szCs w:val="18"/>
              </w:rPr>
            </w:pPr>
          </w:p>
        </w:tc>
        <w:tc>
          <w:tcPr>
            <w:tcW w:w="909" w:type="dxa"/>
            <w:vAlign w:val="center"/>
          </w:tcPr>
          <w:p>
            <w:pPr>
              <w:widowControl/>
              <w:spacing w:line="400" w:lineRule="exact"/>
              <w:jc w:val="center"/>
              <w:rPr>
                <w:rFonts w:ascii="宋体"/>
                <w:sz w:val="18"/>
                <w:szCs w:val="18"/>
              </w:rPr>
            </w:pPr>
            <w:r>
              <w:rPr>
                <w:rFonts w:hint="eastAsia" w:ascii="宋体"/>
                <w:sz w:val="18"/>
                <w:szCs w:val="18"/>
              </w:rPr>
              <w:t>减价</w:t>
            </w:r>
          </w:p>
        </w:tc>
        <w:tc>
          <w:tcPr>
            <w:tcW w:w="852" w:type="dxa"/>
            <w:vAlign w:val="center"/>
          </w:tcPr>
          <w:p>
            <w:pPr>
              <w:widowControl/>
              <w:spacing w:line="400" w:lineRule="exact"/>
              <w:jc w:val="center"/>
              <w:rPr>
                <w:rFonts w:ascii="宋体"/>
                <w:sz w:val="18"/>
                <w:szCs w:val="18"/>
              </w:rPr>
            </w:pPr>
          </w:p>
        </w:tc>
        <w:tc>
          <w:tcPr>
            <w:tcW w:w="711" w:type="dxa"/>
            <w:vAlign w:val="center"/>
          </w:tcPr>
          <w:p>
            <w:pPr>
              <w:widowControl/>
              <w:spacing w:line="400" w:lineRule="exact"/>
              <w:jc w:val="center"/>
              <w:rPr>
                <w:rFonts w:ascii="宋体"/>
                <w:sz w:val="18"/>
                <w:szCs w:val="18"/>
              </w:rPr>
            </w:pPr>
            <w:r>
              <w:rPr>
                <w:rFonts w:hint="eastAsia" w:ascii="宋体"/>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78" w:type="dxa"/>
            <w:vAlign w:val="center"/>
          </w:tcPr>
          <w:p>
            <w:pPr>
              <w:spacing w:line="360" w:lineRule="auto"/>
              <w:jc w:val="center"/>
              <w:rPr>
                <w:rFonts w:ascii="宋体"/>
                <w:sz w:val="18"/>
                <w:szCs w:val="18"/>
              </w:rPr>
            </w:pPr>
            <w:r>
              <w:rPr>
                <w:rFonts w:hint="eastAsia" w:ascii="宋体"/>
                <w:sz w:val="18"/>
                <w:szCs w:val="18"/>
              </w:rPr>
              <w:t>当</w:t>
            </w:r>
            <w:r>
              <w:rPr>
                <w:rFonts w:hint="eastAsia" w:ascii="宋体" w:hAnsi="宋体" w:cs="宋体"/>
                <w:szCs w:val="21"/>
              </w:rPr>
              <w:t xml:space="preserve">ST </w:t>
            </w:r>
            <w:r>
              <w:rPr>
                <w:rFonts w:ascii="宋体"/>
                <w:sz w:val="18"/>
                <w:szCs w:val="18"/>
              </w:rPr>
              <w:t>&lt;</w:t>
            </w:r>
          </w:p>
        </w:tc>
        <w:tc>
          <w:tcPr>
            <w:tcW w:w="1002" w:type="dxa"/>
            <w:vAlign w:val="center"/>
          </w:tcPr>
          <w:p>
            <w:pPr>
              <w:spacing w:line="360" w:lineRule="auto"/>
              <w:jc w:val="center"/>
              <w:rPr>
                <w:rFonts w:ascii="宋体"/>
                <w:sz w:val="18"/>
                <w:szCs w:val="18"/>
              </w:rPr>
            </w:pPr>
          </w:p>
        </w:tc>
        <w:tc>
          <w:tcPr>
            <w:tcW w:w="886" w:type="dxa"/>
            <w:vAlign w:val="center"/>
          </w:tcPr>
          <w:p>
            <w:pPr>
              <w:spacing w:line="360" w:lineRule="auto"/>
              <w:jc w:val="center"/>
              <w:rPr>
                <w:rFonts w:ascii="宋体"/>
                <w:sz w:val="18"/>
                <w:szCs w:val="18"/>
              </w:rPr>
            </w:pPr>
            <w:r>
              <w:rPr>
                <w:rFonts w:hint="eastAsia" w:ascii="宋体" w:hAnsi="宋体" w:cs="宋体"/>
                <w:szCs w:val="21"/>
              </w:rPr>
              <w:t>℃</w:t>
            </w:r>
          </w:p>
        </w:tc>
        <w:tc>
          <w:tcPr>
            <w:tcW w:w="2784" w:type="dxa"/>
            <w:vAlign w:val="center"/>
          </w:tcPr>
          <w:p>
            <w:pPr>
              <w:widowControl/>
              <w:spacing w:line="400" w:lineRule="exact"/>
              <w:jc w:val="center"/>
              <w:rPr>
                <w:rFonts w:ascii="宋体"/>
                <w:sz w:val="18"/>
                <w:szCs w:val="18"/>
              </w:rPr>
            </w:pPr>
          </w:p>
        </w:tc>
        <w:tc>
          <w:tcPr>
            <w:tcW w:w="909" w:type="dxa"/>
            <w:vAlign w:val="center"/>
          </w:tcPr>
          <w:p>
            <w:pPr>
              <w:widowControl/>
              <w:spacing w:line="400" w:lineRule="exact"/>
              <w:jc w:val="center"/>
              <w:rPr>
                <w:rFonts w:ascii="宋体"/>
                <w:sz w:val="18"/>
                <w:szCs w:val="18"/>
              </w:rPr>
            </w:pPr>
            <w:r>
              <w:rPr>
                <w:rFonts w:hint="eastAsia" w:ascii="宋体"/>
                <w:sz w:val="18"/>
                <w:szCs w:val="18"/>
              </w:rPr>
              <w:t>减价</w:t>
            </w:r>
          </w:p>
        </w:tc>
        <w:tc>
          <w:tcPr>
            <w:tcW w:w="852" w:type="dxa"/>
            <w:vAlign w:val="center"/>
          </w:tcPr>
          <w:p>
            <w:pPr>
              <w:widowControl/>
              <w:spacing w:line="400" w:lineRule="exact"/>
              <w:jc w:val="center"/>
              <w:rPr>
                <w:rFonts w:ascii="宋体"/>
                <w:sz w:val="18"/>
                <w:szCs w:val="18"/>
              </w:rPr>
            </w:pPr>
          </w:p>
        </w:tc>
        <w:tc>
          <w:tcPr>
            <w:tcW w:w="711" w:type="dxa"/>
            <w:vAlign w:val="center"/>
          </w:tcPr>
          <w:p>
            <w:pPr>
              <w:widowControl/>
              <w:spacing w:line="400" w:lineRule="exact"/>
              <w:jc w:val="center"/>
              <w:rPr>
                <w:rFonts w:ascii="宋体"/>
                <w:sz w:val="18"/>
                <w:szCs w:val="18"/>
              </w:rPr>
            </w:pPr>
            <w:r>
              <w:rPr>
                <w:rFonts w:hint="eastAsia" w:ascii="宋体"/>
                <w:sz w:val="18"/>
                <w:szCs w:val="18"/>
              </w:rPr>
              <w:t>元/吨</w:t>
            </w:r>
          </w:p>
        </w:tc>
      </w:tr>
    </w:tbl>
    <w:p>
      <w:pPr>
        <w:spacing w:line="400" w:lineRule="exact"/>
        <w:jc w:val="left"/>
        <w:rPr>
          <w:rFonts w:ascii="宋体" w:hAnsi="宋体" w:eastAsia="宋体" w:cs="宋体"/>
          <w:sz w:val="24"/>
          <w:szCs w:val="24"/>
        </w:rPr>
      </w:pPr>
    </w:p>
    <w:p>
      <w:pPr>
        <w:pStyle w:val="12"/>
        <w:spacing w:line="400" w:lineRule="exact"/>
        <w:rPr>
          <w:rFonts w:ascii="宋体" w:hAnsi="宋体" w:cs="宋体"/>
          <w:sz w:val="24"/>
          <w:szCs w:val="22"/>
          <w:lang w:val="en-US" w:bidi="ar-SA"/>
        </w:rPr>
      </w:pPr>
      <w:r>
        <w:rPr>
          <w:rFonts w:hint="eastAsia" w:ascii="宋体" w:hAnsi="宋体" w:cs="宋体"/>
          <w:sz w:val="24"/>
          <w:szCs w:val="22"/>
          <w:lang w:val="en-US" w:bidi="ar-SA"/>
        </w:rPr>
        <w:t>4.4各项扣款累加计算。</w:t>
      </w:r>
    </w:p>
    <w:p>
      <w:pPr>
        <w:pStyle w:val="12"/>
        <w:spacing w:line="400" w:lineRule="exact"/>
        <w:ind w:firstLine="480" w:firstLineChars="200"/>
        <w:rPr>
          <w:rFonts w:ascii="宋体" w:hAnsi="宋体" w:cs="宋体"/>
          <w:sz w:val="24"/>
          <w:szCs w:val="22"/>
          <w:lang w:val="en-US" w:bidi="ar-SA"/>
        </w:rPr>
      </w:pPr>
      <w:r>
        <w:rPr>
          <w:rFonts w:hint="eastAsia" w:ascii="宋体" w:hAnsi="宋体" w:cs="宋体"/>
          <w:sz w:val="24"/>
          <w:szCs w:val="22"/>
          <w:lang w:val="en-US" w:bidi="ar-SA"/>
        </w:rPr>
        <w:t>灰熔点考核：不足10℃按10℃扣罚。灰分考核、挥发分考核不足1%按比例扣罚。以上奖罚幅度参照对应奖罚标准，采用阶梯式考核，各项奖罚累加计算，一般以扣完全部煤款为限。不足约定奖罚幅度按百分比计算。</w:t>
      </w:r>
    </w:p>
    <w:p>
      <w:pPr>
        <w:spacing w:line="40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rPr>
        <w:t>第五条 质量、数量验收</w:t>
      </w:r>
    </w:p>
    <w:p>
      <w:pPr>
        <w:spacing w:line="460" w:lineRule="exact"/>
        <w:ind w:firstLine="480" w:firstLineChars="200"/>
      </w:pPr>
      <w:r>
        <w:rPr>
          <w:rFonts w:hint="eastAsia" w:ascii="宋体" w:hAnsi="宋体" w:eastAsia="宋体" w:cs="宋体"/>
          <w:sz w:val="24"/>
          <w:szCs w:val="24"/>
        </w:rPr>
        <w:t>5.1 质量验收：</w:t>
      </w:r>
      <w:r>
        <w:rPr>
          <w:rFonts w:hint="eastAsia" w:ascii="宋体" w:hAnsi="宋体" w:eastAsia="宋体" w:cs="宋体"/>
          <w:b/>
          <w:bCs/>
          <w:sz w:val="24"/>
          <w:szCs w:val="24"/>
          <w:u w:val="single"/>
        </w:rPr>
        <w:t>港提交货</w:t>
      </w:r>
      <w:r>
        <w:rPr>
          <w:rFonts w:hint="eastAsia" w:ascii="宋体" w:hAnsi="宋体" w:eastAsia="宋体" w:cs="宋体"/>
          <w:sz w:val="24"/>
          <w:szCs w:val="24"/>
        </w:rPr>
        <w:t>双方委托第三方煤炭质量检验机构</w:t>
      </w:r>
      <w:r>
        <w:rPr>
          <w:rFonts w:hint="eastAsia" w:ascii="宋体" w:hAnsi="宋体" w:eastAsia="宋体" w:cs="宋体"/>
          <w:sz w:val="24"/>
          <w:szCs w:val="24"/>
          <w:lang w:val="en-US" w:eastAsia="zh-CN"/>
        </w:rPr>
        <w:t>***</w:t>
      </w:r>
      <w:r>
        <w:rPr>
          <w:rFonts w:hint="eastAsia" w:ascii="宋体" w:hAnsi="宋体" w:eastAsia="宋体" w:cs="宋体"/>
          <w:sz w:val="24"/>
          <w:szCs w:val="24"/>
        </w:rPr>
        <w:t>在港口采样检验；采样方式为装车、装船过程采样，按照国家标准采样检测。以第三方煤炭质量检验机构出具的煤质检测报告结果做为双方煤款结算依据，第三方检验费由乙方承担。</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5.2 数量验收：以双方确认的提货港口汽车地磅/皮带秤计量数量作为数量结算的依据。如是珠三角港口驳船提货，卖方码头船板100%交货，买方对装货率有异议的驳船，卖方负责协调港口补足数量，买方安排有争议的驳船在卸货港单独过磅计量，如到货率（卸货港计量数量/驳船运单量）低于99%，则该条驳船按照卸货港计量数量结算，卖方可安排人员对运输过程、卸货港以及电厂验收过程进行监督。</w:t>
      </w:r>
    </w:p>
    <w:p>
      <w:pPr>
        <w:spacing w:line="400" w:lineRule="exact"/>
        <w:ind w:firstLine="480" w:firstLineChars="200"/>
        <w:jc w:val="left"/>
        <w:rPr>
          <w:rFonts w:ascii="宋体" w:hAnsi="宋体" w:eastAsia="宋体" w:cs="宋体"/>
          <w:b/>
          <w:bCs/>
          <w:sz w:val="24"/>
          <w:szCs w:val="24"/>
        </w:rPr>
      </w:pPr>
      <w:r>
        <w:rPr>
          <w:rFonts w:hint="eastAsia" w:ascii="宋体" w:hAnsi="宋体" w:eastAsia="宋体" w:cs="宋体"/>
          <w:sz w:val="24"/>
          <w:szCs w:val="24"/>
        </w:rPr>
        <w:t>双方均可现场监督，其中一方未参加，并不影响计量工作正常进行，且对未参加方视作自动认可并以此结果作为数量结算依据。</w:t>
      </w:r>
    </w:p>
    <w:p>
      <w:pPr>
        <w:pStyle w:val="12"/>
        <w:spacing w:line="400" w:lineRule="exact"/>
        <w:ind w:firstLine="480" w:firstLineChars="200"/>
        <w:rPr>
          <w:rFonts w:ascii="Calibri" w:hAnsi="Calibri" w:cs="宋体"/>
          <w:sz w:val="24"/>
          <w:szCs w:val="24"/>
          <w:lang w:val="en-US" w:bidi="ar-SA"/>
        </w:rPr>
      </w:pPr>
      <w:r>
        <w:rPr>
          <w:rFonts w:hint="eastAsia" w:ascii="宋体" w:hAnsi="宋体" w:cs="宋体"/>
          <w:sz w:val="24"/>
          <w:szCs w:val="22"/>
          <w:lang w:val="en-US" w:bidi="ar-SA"/>
        </w:rPr>
        <w:t>5.3 主要质量指标标准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5.3.1 低位发热量，以Kcal/kg为计量单位，保留至个位数。</w:t>
      </w:r>
    </w:p>
    <w:p>
      <w:pPr>
        <w:spacing w:line="440" w:lineRule="exact"/>
        <w:ind w:firstLine="480" w:firstLineChars="200"/>
        <w:rPr>
          <w:rFonts w:ascii="宋体" w:hAnsi="宋体" w:eastAsia="宋体" w:cs="宋体"/>
          <w:sz w:val="24"/>
        </w:rPr>
      </w:pPr>
      <w:r>
        <w:rPr>
          <w:rFonts w:hint="eastAsia" w:ascii="宋体" w:hAnsi="宋体" w:eastAsia="宋体" w:cs="宋体"/>
          <w:sz w:val="24"/>
        </w:rPr>
        <w:t>5.3.2 全硫，以百分比为计量单位，保留至小数点后两位数。</w:t>
      </w:r>
    </w:p>
    <w:p>
      <w:pPr>
        <w:spacing w:line="460" w:lineRule="exact"/>
        <w:ind w:firstLine="480" w:firstLineChars="200"/>
        <w:rPr>
          <w:rFonts w:ascii="宋体" w:hAnsi="宋体" w:eastAsia="宋体" w:cs="宋体"/>
          <w:sz w:val="24"/>
        </w:rPr>
      </w:pPr>
      <w:r>
        <w:rPr>
          <w:rFonts w:hint="eastAsia" w:ascii="宋体" w:hAnsi="宋体" w:eastAsia="宋体" w:cs="宋体"/>
          <w:sz w:val="24"/>
        </w:rPr>
        <w:t>5.3.3 挥发分，保留至小数点后两位数。</w:t>
      </w:r>
    </w:p>
    <w:p>
      <w:pPr>
        <w:spacing w:line="440" w:lineRule="exact"/>
        <w:ind w:firstLine="480" w:firstLineChars="200"/>
        <w:rPr>
          <w:rFonts w:ascii="宋体" w:hAnsi="宋体" w:eastAsia="宋体" w:cs="宋体"/>
          <w:sz w:val="24"/>
        </w:rPr>
      </w:pPr>
      <w:r>
        <w:rPr>
          <w:rFonts w:hint="eastAsia" w:ascii="宋体" w:hAnsi="宋体" w:eastAsia="宋体" w:cs="宋体"/>
          <w:sz w:val="24"/>
        </w:rPr>
        <w:t>5.4 货物质量异议的处理</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5.4.1</w:t>
      </w:r>
      <w:r>
        <w:rPr>
          <w:rFonts w:hint="eastAsia" w:ascii="宋体" w:hAnsi="宋体" w:eastAsia="宋体" w:cs="宋体"/>
          <w:sz w:val="24"/>
          <w:lang w:val="en-US" w:eastAsia="zh-CN"/>
        </w:rPr>
        <w:t xml:space="preserve"> 甲乙双方如对质检结果有异议，</w:t>
      </w:r>
      <w:bookmarkStart w:id="0" w:name="_GoBack"/>
      <w:bookmarkEnd w:id="0"/>
      <w:r>
        <w:rPr>
          <w:rFonts w:hint="eastAsia" w:ascii="宋体" w:hAnsi="宋体" w:eastAsia="宋体" w:cs="宋体"/>
          <w:sz w:val="24"/>
          <w:lang w:val="en-US" w:eastAsia="zh-CN"/>
        </w:rPr>
        <w:t>应在第三方公布质检结果后5个工作日内提出，否则视为同意质检结果。</w:t>
      </w:r>
    </w:p>
    <w:p>
      <w:pPr>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 xml:space="preserve">5.4.2 </w:t>
      </w:r>
      <w:r>
        <w:rPr>
          <w:rFonts w:hint="eastAsia" w:ascii="宋体" w:hAnsi="宋体" w:eastAsia="宋体" w:cs="宋体"/>
          <w:color w:val="C00000"/>
          <w:sz w:val="24"/>
          <w:lang w:val="en-US" w:eastAsia="zh-CN"/>
        </w:rPr>
        <w:t>如</w:t>
      </w:r>
      <w:r>
        <w:rPr>
          <w:rFonts w:hint="eastAsia" w:ascii="宋体" w:hAnsi="宋体" w:eastAsia="宋体" w:cs="宋体"/>
          <w:sz w:val="24"/>
        </w:rPr>
        <w:t>第三方煤炭质量检测结果与煤炭的甲方入厂质量检验结果的收到基低位发热量（Qnet,ar）偏差≤100大卡/千克，以第三方煤炭质量检测结果直接作为最终结算依据；当第三方煤炭质量检测结果与煤炭的甲方入厂质量检验结果的收到基低位发热量（Qnet,ar）偏差&gt;100大卡/千克，双方同意以第三方煤炭质量检测结果、入厂检测质量加权平均后的收到基低位发热量作为结算依据。</w:t>
      </w:r>
    </w:p>
    <w:p>
      <w:pPr>
        <w:spacing w:line="440" w:lineRule="exact"/>
        <w:ind w:firstLine="480" w:firstLineChars="200"/>
        <w:rPr>
          <w:rFonts w:ascii="宋体" w:hAnsi="宋体" w:eastAsia="宋体" w:cs="宋体"/>
          <w:sz w:val="24"/>
        </w:rPr>
      </w:pPr>
      <w:r>
        <w:rPr>
          <w:rFonts w:hint="eastAsia" w:ascii="宋体" w:hAnsi="宋体" w:eastAsia="宋体" w:cs="宋体"/>
          <w:color w:val="C00000"/>
          <w:sz w:val="24"/>
        </w:rPr>
        <w:t>5.4.</w:t>
      </w:r>
      <w:r>
        <w:rPr>
          <w:rFonts w:hint="eastAsia" w:ascii="宋体" w:hAnsi="宋体" w:eastAsia="宋体" w:cs="宋体"/>
          <w:color w:val="C00000"/>
          <w:sz w:val="24"/>
          <w:lang w:val="en-US" w:eastAsia="zh-CN"/>
        </w:rPr>
        <w:t>3</w:t>
      </w:r>
      <w:r>
        <w:rPr>
          <w:rFonts w:hint="eastAsia" w:ascii="宋体" w:hAnsi="宋体" w:eastAsia="宋体" w:cs="宋体"/>
          <w:color w:val="C00000"/>
          <w:sz w:val="24"/>
        </w:rPr>
        <w:t xml:space="preserve"> </w:t>
      </w:r>
      <w:r>
        <w:rPr>
          <w:rFonts w:hint="eastAsia" w:ascii="宋体" w:hAnsi="宋体" w:eastAsia="宋体" w:cs="宋体"/>
          <w:sz w:val="24"/>
        </w:rPr>
        <w:t>煤样壹式叁份。甲、乙方各壹份，备查样壹份。备查样由检验单位封口保管，备查样保存期为2个月，2个月后自动失效。</w:t>
      </w:r>
    </w:p>
    <w:p>
      <w:pPr>
        <w:spacing w:line="400" w:lineRule="exact"/>
        <w:ind w:firstLine="480" w:firstLineChars="200"/>
        <w:jc w:val="left"/>
        <w:rPr>
          <w:rFonts w:cs="宋体"/>
          <w:b/>
          <w:bCs/>
          <w:sz w:val="24"/>
          <w:szCs w:val="24"/>
        </w:rPr>
      </w:pPr>
      <w:r>
        <w:rPr>
          <w:rFonts w:hint="eastAsia" w:ascii="宋体" w:hAnsi="宋体" w:eastAsia="宋体" w:cs="宋体"/>
          <w:sz w:val="24"/>
        </w:rPr>
        <w:t>5.4.</w:t>
      </w:r>
      <w:r>
        <w:rPr>
          <w:rFonts w:hint="eastAsia" w:ascii="宋体" w:hAnsi="宋体" w:eastAsia="宋体" w:cs="宋体"/>
          <w:sz w:val="24"/>
          <w:lang w:val="en-US" w:eastAsia="zh-CN"/>
        </w:rPr>
        <w:t>4</w:t>
      </w:r>
      <w:r>
        <w:rPr>
          <w:rFonts w:hint="eastAsia" w:ascii="宋体" w:hAnsi="宋体" w:eastAsia="宋体" w:cs="宋体"/>
          <w:sz w:val="24"/>
        </w:rPr>
        <w:t xml:space="preserve"> 若发现来煤中含有大于50mm以上的矸石，甲方有权对来煤进行分类筛分，筛分出的矸石数量从结算数量中扣除；并承担500元/吨矸石筛分成本，以矸石数量计算筛分成本，该费用直接从煤款中扣除。</w:t>
      </w:r>
    </w:p>
    <w:p>
      <w:pPr>
        <w:numPr>
          <w:ilvl w:val="0"/>
          <w:numId w:val="1"/>
        </w:numPr>
        <w:spacing w:line="400" w:lineRule="exact"/>
        <w:ind w:firstLine="482" w:firstLineChars="200"/>
        <w:jc w:val="left"/>
        <w:rPr>
          <w:rFonts w:ascii="宋体" w:hAnsi="宋体" w:eastAsia="宋体" w:cs="宋体"/>
          <w:b/>
          <w:bCs/>
          <w:sz w:val="24"/>
          <w:szCs w:val="24"/>
        </w:rPr>
      </w:pPr>
      <w:r>
        <w:rPr>
          <w:rFonts w:hint="eastAsia" w:ascii="宋体" w:hAnsi="宋体" w:eastAsia="宋体" w:cs="宋体"/>
          <w:b/>
          <w:sz w:val="24"/>
          <w:szCs w:val="24"/>
        </w:rPr>
        <w:t>煤款结算</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 结算价格=合同价格+奖罚，小数点后保留两位。</w:t>
      </w:r>
    </w:p>
    <w:p>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 买方收到货权后安排煤炭发运，根据煤炭到厂进度安排1-2次预结煤款支付给卖方（按照到厂</w:t>
      </w:r>
      <w:r>
        <w:rPr>
          <w:rFonts w:hint="eastAsia" w:ascii="宋体" w:hAnsi="宋体" w:eastAsia="宋体" w:cs="宋体"/>
          <w:sz w:val="24"/>
          <w:szCs w:val="24"/>
          <w:lang w:val="en-US" w:eastAsia="zh-CN"/>
        </w:rPr>
        <w:t>数量</w:t>
      </w:r>
      <w:r>
        <w:rPr>
          <w:rFonts w:hint="eastAsia" w:ascii="宋体" w:hAnsi="宋体" w:eastAsia="宋体" w:cs="宋体"/>
          <w:sz w:val="24"/>
          <w:szCs w:val="24"/>
        </w:rPr>
        <w:t>、合同基准价试算，金额不超试算总金额的70%）。煤炭全部到厂，甲方在</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个工作日内（如遇公休日或国家法定节假日，则顺延至下一个工作日）根据</w:t>
      </w:r>
      <w:r>
        <w:rPr>
          <w:rFonts w:hint="eastAsia" w:ascii="宋体" w:hAnsi="宋体" w:eastAsia="宋体" w:cs="宋体"/>
          <w:sz w:val="24"/>
          <w:szCs w:val="24"/>
          <w:lang w:val="en-US" w:eastAsia="zh-CN"/>
        </w:rPr>
        <w:t>双方认可的合同履约</w:t>
      </w:r>
      <w:r>
        <w:rPr>
          <w:rFonts w:hint="eastAsia" w:ascii="宋体" w:hAnsi="宋体" w:eastAsia="宋体" w:cs="宋体"/>
          <w:sz w:val="24"/>
          <w:szCs w:val="24"/>
        </w:rPr>
        <w:t>量及</w:t>
      </w:r>
      <w:r>
        <w:rPr>
          <w:rFonts w:hint="eastAsia" w:ascii="宋体" w:hAnsi="宋体" w:eastAsia="宋体" w:cs="宋体"/>
          <w:sz w:val="24"/>
          <w:szCs w:val="24"/>
          <w:lang w:val="en-US" w:eastAsia="zh-CN"/>
        </w:rPr>
        <w:t>第三方出具的</w:t>
      </w:r>
      <w:r>
        <w:rPr>
          <w:rFonts w:hint="eastAsia" w:ascii="宋体" w:hAnsi="宋体" w:eastAsia="宋体" w:cs="宋体"/>
          <w:sz w:val="24"/>
          <w:szCs w:val="24"/>
        </w:rPr>
        <w:t>检验报告</w:t>
      </w:r>
      <w:r>
        <w:rPr>
          <w:rFonts w:hint="eastAsia" w:ascii="宋体" w:hAnsi="宋体" w:eastAsia="宋体" w:cs="宋体"/>
          <w:sz w:val="24"/>
          <w:szCs w:val="24"/>
          <w:lang w:val="en-US" w:eastAsia="zh-CN"/>
        </w:rPr>
        <w:t>组织结算工作</w:t>
      </w:r>
      <w:r>
        <w:rPr>
          <w:rFonts w:hint="eastAsia" w:ascii="宋体" w:hAnsi="宋体" w:eastAsia="宋体" w:cs="宋体"/>
          <w:sz w:val="24"/>
          <w:szCs w:val="24"/>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确认无误后按结算单</w:t>
      </w:r>
      <w:r>
        <w:rPr>
          <w:rFonts w:hint="eastAsia" w:ascii="宋体" w:hAnsi="宋体" w:eastAsia="宋体" w:cs="宋体"/>
          <w:sz w:val="24"/>
          <w:szCs w:val="24"/>
          <w:lang w:val="en-US" w:eastAsia="zh-CN"/>
        </w:rPr>
        <w:t>金额</w:t>
      </w:r>
      <w:r>
        <w:rPr>
          <w:rFonts w:hint="eastAsia" w:ascii="宋体" w:hAnsi="宋体" w:eastAsia="宋体" w:cs="宋体"/>
          <w:sz w:val="24"/>
          <w:szCs w:val="24"/>
        </w:rPr>
        <w:t>开具全额增值税专用发票，甲方收到发票后的20个工作日内向乙方支付</w:t>
      </w:r>
      <w:r>
        <w:rPr>
          <w:rFonts w:hint="eastAsia" w:ascii="宋体" w:hAnsi="宋体" w:eastAsia="宋体" w:cs="宋体"/>
          <w:sz w:val="24"/>
          <w:szCs w:val="24"/>
          <w:lang w:val="en-US" w:eastAsia="zh-CN"/>
        </w:rPr>
        <w:t>剩余</w:t>
      </w:r>
      <w:r>
        <w:rPr>
          <w:rFonts w:hint="eastAsia" w:ascii="宋体" w:hAnsi="宋体" w:eastAsia="宋体" w:cs="宋体"/>
          <w:sz w:val="24"/>
          <w:szCs w:val="24"/>
        </w:rPr>
        <w:t>货款。</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6.3 双方若对“结算单据”内容有异议，应在收到结算单据之日起5个工作日内，向对方发出“结算异议通知”。甲、乙双方应相互配合，认真核对检查，尽快达成共识。对达成共识的货款，甲方应在收到增值税发票后20个工作日内向乙方支付</w:t>
      </w:r>
      <w:r>
        <w:rPr>
          <w:rFonts w:hint="eastAsia" w:ascii="宋体" w:hAnsi="宋体" w:eastAsia="宋体" w:cs="宋体"/>
          <w:sz w:val="24"/>
          <w:szCs w:val="24"/>
          <w:lang w:val="en-US" w:eastAsia="zh-CN"/>
        </w:rPr>
        <w:t>货款</w:t>
      </w:r>
      <w:r>
        <w:rPr>
          <w:rFonts w:hint="eastAsia" w:ascii="宋体" w:hAnsi="宋体" w:eastAsia="宋体" w:cs="宋体"/>
          <w:sz w:val="24"/>
          <w:szCs w:val="24"/>
        </w:rPr>
        <w:t>。</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6.4 甲方以电汇方式</w:t>
      </w:r>
      <w:r>
        <w:rPr>
          <w:rFonts w:hint="eastAsia" w:ascii="宋体" w:hAnsi="宋体" w:eastAsia="宋体" w:cs="宋体"/>
          <w:sz w:val="24"/>
          <w:szCs w:val="24"/>
          <w:lang w:val="en-US" w:eastAsia="zh-CN"/>
        </w:rPr>
        <w:t>付款</w:t>
      </w:r>
      <w:r>
        <w:rPr>
          <w:rFonts w:hint="eastAsia" w:ascii="宋体" w:hAnsi="宋体" w:eastAsia="宋体" w:cs="宋体"/>
          <w:sz w:val="24"/>
          <w:szCs w:val="24"/>
        </w:rPr>
        <w:t>。</w:t>
      </w:r>
    </w:p>
    <w:p>
      <w:pPr>
        <w:spacing w:line="40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rPr>
        <w:t>第七条 拒收条款</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7.1现场勘查煤质，如煤种黏结对设备存在危害风险，甲方有权取消入选资格。由于乙方所供煤炭中含有大煤块、石块、铁块、木块等杂物，造成设备机械损伤等不良后果的，甲方有权追索经济损失（如要求乙方按实际损失情况赔偿损失费等）。</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szCs w:val="24"/>
        </w:rPr>
        <w:t>7.2乙方供应煤炭中有掺杂</w:t>
      </w:r>
      <w:r>
        <w:rPr>
          <w:rFonts w:hint="eastAsia" w:ascii="宋体" w:hAnsi="宋体" w:eastAsia="宋体" w:cs="宋体"/>
          <w:sz w:val="24"/>
          <w:szCs w:val="24"/>
          <w:lang w:eastAsia="zh-CN"/>
        </w:rPr>
        <w:t>、</w:t>
      </w:r>
      <w:r>
        <w:rPr>
          <w:rFonts w:hint="eastAsia" w:ascii="宋体" w:hAnsi="宋体" w:eastAsia="宋体" w:cs="宋体"/>
          <w:sz w:val="24"/>
          <w:szCs w:val="24"/>
        </w:rPr>
        <w:t>自燃、高温情况</w:t>
      </w:r>
      <w:r>
        <w:rPr>
          <w:rFonts w:hint="eastAsia" w:ascii="宋体" w:hAnsi="宋体" w:eastAsia="宋体" w:cs="宋体"/>
          <w:sz w:val="24"/>
          <w:szCs w:val="24"/>
          <w:lang w:eastAsia="zh-CN"/>
        </w:rPr>
        <w:t>，</w:t>
      </w:r>
      <w:r>
        <w:rPr>
          <w:rFonts w:hint="eastAsia" w:ascii="宋体" w:hAnsi="宋体" w:eastAsia="宋体" w:cs="宋体"/>
          <w:sz w:val="24"/>
          <w:szCs w:val="24"/>
        </w:rPr>
        <w:t>非合同煤种时，甲方有权拒收。</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第八条 违约责任</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8.1当实际交货数量在合同约定交货数量的90%至110%（含90%、110%）范围以内，视为乙方完成兑现；若乙方在合同执行期限内未组织发运，乙方将按（合同量*20元/吨）支付违约金给甲方。</w:t>
      </w:r>
    </w:p>
    <w:p>
      <w:pPr>
        <w:spacing w:line="400" w:lineRule="exact"/>
        <w:ind w:firstLine="480" w:firstLineChars="200"/>
        <w:jc w:val="left"/>
        <w:rPr>
          <w:rFonts w:ascii="宋体" w:hAnsi="宋体" w:eastAsia="宋体" w:cs="宋体"/>
          <w:sz w:val="24"/>
          <w:highlight w:val="yellow"/>
        </w:rPr>
      </w:pPr>
      <w:r>
        <w:rPr>
          <w:rFonts w:hint="eastAsia" w:ascii="宋体" w:hAnsi="宋体" w:eastAsia="宋体" w:cs="宋体"/>
          <w:sz w:val="24"/>
        </w:rPr>
        <w:t>8.2兑现量考核：当交货兑现率在60%-90%之间（含60%）时，甲方按照（合同量*90%－兑现量）*20元/吨，从乙方结算煤款中扣除违约金。当交货兑现率在30%-60%之间（含30%）时，甲方按照合同量*30%*20元/吨+（合同量*60%－兑现量）*40元/吨，从乙方结算煤款中扣除违约金。若实际交货数量小于合同约定交货数量的30%，则乙方将按（合同量*20元/吨）支付违约金给甲方。若未经甲方书面同意，实际交货数量大于合同约定交货数量的110（不含）%，则超过部分合同价=原合同价-价差-5元/吨（价差=确定入选资格当日同煤种CCI指数价格与当月及次月同煤种CCI单日指数最低价格的价差）。</w:t>
      </w:r>
    </w:p>
    <w:p>
      <w:pPr>
        <w:adjustRightInd w:val="0"/>
        <w:snapToGrid w:val="0"/>
        <w:spacing w:line="400" w:lineRule="exact"/>
        <w:ind w:firstLine="482" w:firstLineChars="200"/>
        <w:rPr>
          <w:rFonts w:ascii="宋体" w:hAnsi="宋体" w:eastAsia="宋体" w:cs="宋体"/>
          <w:b/>
          <w:bCs/>
          <w:sz w:val="24"/>
          <w:szCs w:val="20"/>
        </w:rPr>
      </w:pPr>
      <w:r>
        <w:rPr>
          <w:rFonts w:hint="eastAsia" w:ascii="宋体" w:hAnsi="宋体" w:eastAsia="宋体" w:cs="宋体"/>
          <w:b/>
          <w:sz w:val="24"/>
        </w:rPr>
        <w:t>第九条 风险转移</w:t>
      </w:r>
    </w:p>
    <w:p>
      <w:pPr>
        <w:pStyle w:val="5"/>
        <w:widowControl/>
        <w:snapToGrid w:val="0"/>
        <w:spacing w:line="400" w:lineRule="exact"/>
        <w:ind w:firstLine="480" w:firstLineChars="200"/>
        <w:rPr>
          <w:rFonts w:eastAsia="宋体" w:cs="宋体"/>
          <w:sz w:val="24"/>
          <w:szCs w:val="24"/>
        </w:rPr>
      </w:pPr>
      <w:r>
        <w:rPr>
          <w:rFonts w:hint="eastAsia" w:eastAsia="宋体" w:cs="宋体"/>
          <w:sz w:val="24"/>
          <w:szCs w:val="24"/>
        </w:rPr>
        <w:t>甲方有权对乙方备货的全过程进行质量监控，以确保供货质量及数量。甲乙双方均应密切配合做好煤炭全过程质量管理工作。乙方以约定的交货方式将货物交付给甲方即视为履行完毕交付义务，货物的所有权及风险同时转移给甲方。</w:t>
      </w:r>
    </w:p>
    <w:p>
      <w:pPr>
        <w:pStyle w:val="5"/>
        <w:widowControl/>
        <w:snapToGrid w:val="0"/>
        <w:spacing w:line="400" w:lineRule="exact"/>
        <w:ind w:firstLine="480" w:firstLineChars="200"/>
        <w:rPr>
          <w:rFonts w:eastAsia="宋体" w:cs="宋体"/>
          <w:sz w:val="24"/>
          <w:szCs w:val="24"/>
        </w:rPr>
      </w:pPr>
      <w:r>
        <w:rPr>
          <w:rFonts w:hint="eastAsia" w:eastAsia="宋体" w:cs="宋体"/>
          <w:sz w:val="24"/>
          <w:szCs w:val="24"/>
        </w:rPr>
        <w:t>甲乙双方均有责任与权力指派专人监督煤炭质量检验工作，并办理有关质检过程确认手续。但未派人监督煤炭质量检验工作，则视作自动认可，不影响检质工作的有效性和权威性。</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第十条  不可抗力</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10.1 如在甲、乙双方履行合同期间及区域内因发生不可抗力，如恶劣天气、战争、自然灾害、运输中断、机组故障（机组全面停机，且无法接卸煤炭）、重大安全生产事故、政策变化、煤矿遇到地质构造、换工作面、铁路运输原因 等，使合同无法正常履行，受影响一方应立即通知对方，并积极采取补救措施，在受不可抗力影响的范围内，有关当事人可免除其责任。</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10.2 发生不可抗力后，不能正常履行合同一方应第一时间将详情通知对方，并有义务尽量将损失降到最低。</w:t>
      </w:r>
    </w:p>
    <w:p>
      <w:pPr>
        <w:spacing w:line="400" w:lineRule="exact"/>
        <w:ind w:firstLine="480" w:firstLineChars="200"/>
        <w:jc w:val="left"/>
        <w:rPr>
          <w:rFonts w:ascii="宋体" w:hAnsi="宋体" w:eastAsia="宋体" w:cs="宋体"/>
        </w:rPr>
      </w:pPr>
      <w:r>
        <w:rPr>
          <w:rFonts w:hint="eastAsia" w:ascii="宋体" w:hAnsi="宋体" w:eastAsia="宋体" w:cs="宋体"/>
          <w:sz w:val="24"/>
        </w:rPr>
        <w:t>10.3 不可抗力解除后，甲、乙双方是否延期履行、部分履行或取消履行本合同，双方应本着相互谅解、互惠互利原则协商确定。</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第十一条  送达</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11.1双方应在本合同的签署栏中如实提供联系地址及联系电话等（若联系地址未填写，则以身份证载明的住址或工商登记的住所地为准）。</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11.2与履行本合同有关通知均应按照合同中所载的联系方式以书面形式作出。如以邮寄方式发送，以收件人收到邮件日视为送达日期。双方应对送达地址负责，如有变更，变更方应在变更前三日内通知对方，并书面告知新的联系人信息，其他当事人实际收到变更通知前的送达仍为有效送达，若因此而导致对方受到损失的，未告知方应赔偿对方的全部损失。</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11.3本条款为独立条款，不受合同整体或其他条款的效力的影响。</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第十二条  争议的解决</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12.1合同双方在本合同履行过程中因对本合同条款解释不一致、违约、终止等事项而产生争议时，双方应通过友好协商或调解解决争议。若双方于60天内协商不成，任何一方均可向</w:t>
      </w:r>
      <w:r>
        <w:rPr>
          <w:rFonts w:hint="eastAsia" w:ascii="宋体" w:hAnsi="宋体" w:eastAsia="宋体" w:cs="宋体"/>
          <w:sz w:val="24"/>
          <w:lang w:val="en-US" w:eastAsia="zh-CN"/>
        </w:rPr>
        <w:t>甲方所在地</w:t>
      </w:r>
      <w:r>
        <w:rPr>
          <w:rFonts w:hint="eastAsia" w:ascii="宋体" w:hAnsi="宋体" w:eastAsia="宋体" w:cs="宋体"/>
          <w:sz w:val="24"/>
        </w:rPr>
        <w:t>有管辖权人民法院提起诉讼。</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12.2争议解决期间除涉及争议的条款以外，双方应继续履行本合同的其他条款。</w:t>
      </w:r>
    </w:p>
    <w:p>
      <w:pPr>
        <w:spacing w:line="400" w:lineRule="exact"/>
        <w:ind w:firstLine="480" w:firstLineChars="200"/>
        <w:rPr>
          <w:rFonts w:ascii="宋体" w:hAnsi="宋体" w:eastAsia="宋体" w:cs="宋体"/>
          <w:sz w:val="24"/>
        </w:rPr>
      </w:pPr>
      <w:r>
        <w:rPr>
          <w:rFonts w:hint="eastAsia" w:ascii="宋体" w:hAnsi="宋体" w:eastAsia="宋体" w:cs="宋体"/>
          <w:sz w:val="24"/>
        </w:rPr>
        <w:t>12.3本合同适用中华人民共和国法律。</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12.4本合同违约方应赔偿守约方因主张权利而支出的合理费用（包括但不限于差旅费用、律师代理费用、诉讼费用等）。</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第十三条  合同生效</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13.1本合同经甲乙双方法定代表人或委托代理人签字</w:t>
      </w:r>
      <w:r>
        <w:rPr>
          <w:rFonts w:hint="eastAsia" w:ascii="宋体" w:hAnsi="宋体" w:eastAsia="宋体" w:cs="宋体"/>
          <w:sz w:val="24"/>
          <w:lang w:eastAsia="zh-CN"/>
        </w:rPr>
        <w:t>（</w:t>
      </w:r>
      <w:r>
        <w:rPr>
          <w:rFonts w:hint="eastAsia" w:ascii="宋体" w:hAnsi="宋体" w:eastAsia="宋体" w:cs="宋体"/>
          <w:sz w:val="24"/>
        </w:rPr>
        <w:t>或</w:t>
      </w:r>
      <w:r>
        <w:rPr>
          <w:rFonts w:hint="eastAsia" w:ascii="宋体" w:hAnsi="宋体" w:eastAsia="宋体" w:cs="宋体"/>
          <w:sz w:val="24"/>
          <w:lang w:val="en-US" w:eastAsia="zh-CN"/>
        </w:rPr>
        <w:t>法定代表人</w:t>
      </w:r>
      <w:r>
        <w:rPr>
          <w:rFonts w:hint="eastAsia" w:ascii="宋体" w:hAnsi="宋体" w:eastAsia="宋体" w:cs="宋体"/>
          <w:sz w:val="24"/>
        </w:rPr>
        <w:t>盖章</w:t>
      </w:r>
      <w:r>
        <w:rPr>
          <w:rFonts w:hint="eastAsia" w:ascii="宋体" w:hAnsi="宋体" w:eastAsia="宋体" w:cs="宋体"/>
          <w:sz w:val="24"/>
          <w:lang w:eastAsia="zh-CN"/>
        </w:rPr>
        <w:t>）</w:t>
      </w:r>
      <w:r>
        <w:rPr>
          <w:rFonts w:hint="eastAsia" w:ascii="宋体" w:hAnsi="宋体" w:eastAsia="宋体" w:cs="宋体"/>
          <w:sz w:val="24"/>
        </w:rPr>
        <w:t>（授权人需提供授权委托书），并加盖双方公章或合同专用章后生效。有效期自合同签订之日起至</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日止,若双方未结算完毕截止时间顺延。</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13.2本合同正本一式四份，甲方一份、乙方三份</w:t>
      </w:r>
      <w:r>
        <w:rPr>
          <w:rFonts w:hint="eastAsia" w:ascii="宋体" w:hAnsi="宋体" w:eastAsia="宋体" w:cs="宋体"/>
          <w:sz w:val="24"/>
          <w:lang w:eastAsia="zh-CN"/>
        </w:rPr>
        <w:t>，各份具有同等法律效力</w:t>
      </w:r>
      <w:r>
        <w:rPr>
          <w:rFonts w:hint="eastAsia" w:ascii="宋体" w:hAnsi="宋体" w:eastAsia="宋体" w:cs="宋体"/>
          <w:sz w:val="24"/>
        </w:rPr>
        <w:t>。</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13.3本合同未尽事项，双方可以签订补充协议。</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第十四条  保密条款</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14.1本合同内容为甲乙双方业务机密，双方均必须约束其所属工作人员，不得将本合同内容或部分内容透露给任何第三方，包括甲乙双方内部与本合同履行无关的其他员工。保密期限至本合同终止或解除后十年。</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14.2任意一方违反本协议保密义务的，另一方有权按照法律规定追究其法律责任，造成损失的违约方应依法赔偿。</w:t>
      </w:r>
    </w:p>
    <w:p>
      <w:pPr>
        <w:spacing w:line="400" w:lineRule="exact"/>
        <w:ind w:firstLine="480" w:firstLineChars="200"/>
        <w:jc w:val="left"/>
      </w:pPr>
      <w:r>
        <w:rPr>
          <w:rFonts w:hint="eastAsia" w:ascii="宋体" w:hAnsi="宋体" w:eastAsia="宋体" w:cs="宋体"/>
          <w:sz w:val="24"/>
        </w:rPr>
        <w:t>14.3本协议所涉之损失包括但不限于：因有关秘密可以直接获得或间接获得的商业利益，以及守约方为制止违约方泄密行为所产生的调查费用、律师费用、证据保全费用及诉讼费用等。</w:t>
      </w:r>
    </w:p>
    <w:p>
      <w:pPr>
        <w:adjustRightInd w:val="0"/>
        <w:snapToGrid w:val="0"/>
        <w:spacing w:line="400" w:lineRule="exact"/>
        <w:ind w:firstLine="482" w:firstLineChars="200"/>
        <w:rPr>
          <w:rFonts w:ascii="宋体" w:hAnsi="宋体" w:eastAsia="宋体" w:cs="宋体"/>
          <w:b/>
          <w:sz w:val="24"/>
        </w:rPr>
      </w:pPr>
      <w:r>
        <w:rPr>
          <w:rFonts w:hint="eastAsia" w:ascii="宋体" w:hAnsi="宋体" w:eastAsia="宋体" w:cs="宋体"/>
          <w:b/>
          <w:sz w:val="24"/>
        </w:rPr>
        <w:t>第十五条  其它</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15.1 在合同执行过程中，甲、乙双方均有权就本合同内容向对方提出书面修改，对此双方应本着相互理解合作的精神进行协商。上述修改只有在双方达成一致后才能视为对合同内容的变更。</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15.2 一旦甲、乙双方就修改意见达成一致，应以补充协议形式经双方加盖合同章确认，视为本合同不可分割的组成部分，与本合同具有同等法律效力。补充协议与本合同内容不一致的，以补充协议约定内容为准。</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15.3本合同不得用于任何形式的融资担保业务（包括货款质押等）。</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15.4本合同项下双方权利义务不得转让任何第三方。</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15.5本合同项下双方的权利义务履行完毕后自动终止。</w:t>
      </w:r>
    </w:p>
    <w:p>
      <w:pPr>
        <w:pStyle w:val="2"/>
      </w:pPr>
    </w:p>
    <w:p>
      <w:pPr>
        <w:widowControl/>
        <w:tabs>
          <w:tab w:val="left" w:pos="720"/>
          <w:tab w:val="left" w:pos="2250"/>
        </w:tabs>
        <w:spacing w:line="400" w:lineRule="exact"/>
        <w:ind w:firstLine="480" w:firstLineChars="200"/>
        <w:jc w:val="center"/>
        <w:rPr>
          <w:rFonts w:ascii="宋体" w:hAnsi="宋体" w:eastAsia="宋体" w:cs="宋体"/>
          <w:sz w:val="24"/>
        </w:rPr>
      </w:pPr>
      <w:r>
        <w:rPr>
          <w:rFonts w:hint="eastAsia" w:ascii="宋体" w:hAnsi="宋体" w:eastAsia="宋体" w:cs="宋体"/>
          <w:sz w:val="24"/>
        </w:rPr>
        <w:t>转签字盖章页，以下无正文</w:t>
      </w:r>
    </w:p>
    <w:p>
      <w:pPr>
        <w:widowControl/>
        <w:tabs>
          <w:tab w:val="left" w:pos="720"/>
          <w:tab w:val="left" w:pos="2250"/>
        </w:tabs>
        <w:spacing w:line="400" w:lineRule="exact"/>
      </w:pPr>
    </w:p>
    <w:tbl>
      <w:tblPr>
        <w:tblStyle w:val="9"/>
        <w:tblpPr w:leftFromText="180" w:rightFromText="180" w:vertAnchor="text" w:horzAnchor="page" w:tblpX="1592" w:tblpY="69"/>
        <w:tblOverlap w:val="never"/>
        <w:tblW w:w="8950" w:type="dxa"/>
        <w:tblInd w:w="0" w:type="dxa"/>
        <w:tblLayout w:type="fixed"/>
        <w:tblCellMar>
          <w:top w:w="0" w:type="dxa"/>
          <w:left w:w="108" w:type="dxa"/>
          <w:bottom w:w="0" w:type="dxa"/>
          <w:right w:w="108" w:type="dxa"/>
        </w:tblCellMar>
      </w:tblPr>
      <w:tblGrid>
        <w:gridCol w:w="4586"/>
        <w:gridCol w:w="4364"/>
      </w:tblGrid>
      <w:tr>
        <w:tblPrEx>
          <w:tblCellMar>
            <w:top w:w="0" w:type="dxa"/>
            <w:left w:w="108" w:type="dxa"/>
            <w:bottom w:w="0" w:type="dxa"/>
            <w:right w:w="108" w:type="dxa"/>
          </w:tblCellMar>
        </w:tblPrEx>
        <w:tc>
          <w:tcPr>
            <w:tcW w:w="4586" w:type="dxa"/>
          </w:tcPr>
          <w:p>
            <w:pPr>
              <w:spacing w:line="400" w:lineRule="exact"/>
              <w:rPr>
                <w:rFonts w:ascii="宋体" w:hAnsi="宋体" w:eastAsia="宋体" w:cs="宋体"/>
                <w:sz w:val="24"/>
                <w:szCs w:val="24"/>
              </w:rPr>
            </w:pPr>
            <w:r>
              <w:rPr>
                <w:rFonts w:hint="eastAsia" w:ascii="宋体" w:hAnsi="宋体" w:eastAsia="宋体" w:cs="宋体"/>
                <w:b/>
                <w:bCs/>
                <w:sz w:val="24"/>
              </w:rPr>
              <w:t>买受人(甲方)：中国华电集团贵港发电有限公司</w:t>
            </w:r>
          </w:p>
          <w:p>
            <w:pPr>
              <w:spacing w:line="400" w:lineRule="exact"/>
              <w:rPr>
                <w:rFonts w:ascii="宋体" w:hAnsi="宋体" w:eastAsia="宋体" w:cs="宋体"/>
                <w:sz w:val="24"/>
                <w:szCs w:val="24"/>
              </w:rPr>
            </w:pPr>
            <w:r>
              <w:rPr>
                <w:rFonts w:hint="eastAsia" w:ascii="宋体" w:hAnsi="宋体" w:eastAsia="宋体" w:cs="宋体"/>
                <w:sz w:val="24"/>
                <w:szCs w:val="24"/>
              </w:rPr>
              <w:t>法定代表人（授权人）：</w:t>
            </w:r>
          </w:p>
          <w:p>
            <w:pPr>
              <w:spacing w:line="400" w:lineRule="exact"/>
              <w:rPr>
                <w:rFonts w:ascii="宋体" w:hAnsi="宋体" w:eastAsia="宋体" w:cs="宋体"/>
                <w:sz w:val="24"/>
                <w:szCs w:val="24"/>
              </w:rPr>
            </w:pPr>
            <w:r>
              <w:rPr>
                <w:rFonts w:hint="eastAsia" w:ascii="宋体" w:hAnsi="宋体" w:eastAsia="宋体" w:cs="宋体"/>
                <w:sz w:val="24"/>
                <w:szCs w:val="24"/>
              </w:rPr>
              <w:t>地  址：广西贵港市港北区华电路1号</w:t>
            </w:r>
          </w:p>
          <w:p>
            <w:pPr>
              <w:spacing w:line="400" w:lineRule="exact"/>
              <w:rPr>
                <w:rFonts w:ascii="宋体" w:hAnsi="宋体" w:eastAsia="宋体" w:cs="宋体"/>
                <w:sz w:val="24"/>
                <w:szCs w:val="24"/>
              </w:rPr>
            </w:pPr>
            <w:r>
              <w:rPr>
                <w:rFonts w:hint="eastAsia" w:ascii="宋体" w:hAnsi="宋体" w:eastAsia="宋体" w:cs="宋体"/>
                <w:sz w:val="24"/>
                <w:szCs w:val="24"/>
              </w:rPr>
              <w:t>开户银行： 中国银行贵港市桂林路支行</w:t>
            </w:r>
          </w:p>
          <w:p>
            <w:pPr>
              <w:spacing w:line="400" w:lineRule="exact"/>
              <w:rPr>
                <w:rFonts w:ascii="宋体" w:hAnsi="宋体" w:eastAsia="宋体" w:cs="宋体"/>
                <w:sz w:val="24"/>
                <w:szCs w:val="24"/>
              </w:rPr>
            </w:pPr>
            <w:r>
              <w:rPr>
                <w:rFonts w:hint="eastAsia" w:ascii="宋体" w:hAnsi="宋体" w:eastAsia="宋体" w:cs="宋体"/>
                <w:sz w:val="24"/>
                <w:szCs w:val="24"/>
              </w:rPr>
              <w:t>账  号：622357501243</w:t>
            </w:r>
          </w:p>
          <w:p>
            <w:pPr>
              <w:spacing w:line="400" w:lineRule="exact"/>
              <w:rPr>
                <w:rFonts w:ascii="宋体" w:hAnsi="宋体" w:eastAsia="宋体" w:cs="宋体"/>
                <w:sz w:val="24"/>
                <w:szCs w:val="24"/>
              </w:rPr>
            </w:pPr>
            <w:r>
              <w:rPr>
                <w:rFonts w:hint="eastAsia" w:ascii="宋体" w:hAnsi="宋体" w:eastAsia="宋体" w:cs="宋体"/>
                <w:sz w:val="24"/>
                <w:szCs w:val="24"/>
              </w:rPr>
              <w:t>税  号：91450800753742391M</w:t>
            </w:r>
          </w:p>
          <w:p>
            <w:pPr>
              <w:spacing w:line="400" w:lineRule="exact"/>
              <w:rPr>
                <w:rFonts w:ascii="宋体" w:hAnsi="宋体" w:eastAsia="宋体" w:cs="宋体"/>
                <w:sz w:val="24"/>
                <w:szCs w:val="24"/>
              </w:rPr>
            </w:pPr>
            <w:r>
              <w:rPr>
                <w:rFonts w:hint="eastAsia" w:ascii="宋体" w:hAnsi="宋体" w:eastAsia="宋体" w:cs="宋体"/>
                <w:sz w:val="24"/>
                <w:szCs w:val="24"/>
              </w:rPr>
              <w:t>经办人：</w:t>
            </w:r>
          </w:p>
          <w:p>
            <w:pPr>
              <w:spacing w:line="400" w:lineRule="exact"/>
              <w:rPr>
                <w:rFonts w:ascii="宋体" w:hAnsi="宋体" w:eastAsia="宋体" w:cs="宋体"/>
                <w:b/>
                <w:sz w:val="24"/>
              </w:rPr>
            </w:pPr>
          </w:p>
        </w:tc>
        <w:tc>
          <w:tcPr>
            <w:tcW w:w="4364" w:type="dxa"/>
          </w:tcPr>
          <w:p>
            <w:pPr>
              <w:spacing w:line="360" w:lineRule="auto"/>
              <w:rPr>
                <w:rFonts w:hint="eastAsia" w:ascii="宋体" w:hAnsi="宋体" w:eastAsia="宋体" w:cs="Times New Roman"/>
                <w:b/>
                <w:bCs/>
                <w:sz w:val="24"/>
                <w:szCs w:val="24"/>
                <w:lang w:val="en-US" w:eastAsia="zh-CN"/>
              </w:rPr>
            </w:pPr>
            <w:r>
              <w:rPr>
                <w:rFonts w:hint="eastAsia" w:ascii="宋体" w:hAnsi="宋体" w:eastAsia="宋体" w:cs="宋体"/>
                <w:b/>
                <w:bCs/>
                <w:sz w:val="24"/>
              </w:rPr>
              <w:t>出卖人(乙方)：</w:t>
            </w:r>
            <w:r>
              <w:rPr>
                <w:rFonts w:hint="eastAsia" w:ascii="宋体" w:hAnsi="宋体" w:eastAsia="宋体" w:cs="宋体"/>
                <w:b/>
                <w:bCs/>
                <w:sz w:val="24"/>
                <w:lang w:val="en-US" w:eastAsia="zh-CN"/>
              </w:rPr>
              <w:t xml:space="preserve"> </w:t>
            </w:r>
          </w:p>
          <w:p>
            <w:pPr>
              <w:spacing w:line="40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p>
          <w:p>
            <w:pPr>
              <w:spacing w:line="400" w:lineRule="exact"/>
              <w:rPr>
                <w:rFonts w:ascii="宋体" w:hAnsi="宋体" w:eastAsia="宋体" w:cs="宋体"/>
                <w:sz w:val="24"/>
                <w:szCs w:val="24"/>
              </w:rPr>
            </w:pPr>
            <w:r>
              <w:rPr>
                <w:rFonts w:hint="eastAsia" w:ascii="宋体" w:hAnsi="宋体" w:eastAsia="宋体" w:cs="宋体"/>
                <w:sz w:val="24"/>
                <w:szCs w:val="24"/>
              </w:rPr>
              <w:t>法定代表人（授权人）：</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p>
          <w:p>
            <w:pPr>
              <w:spacing w:line="400" w:lineRule="exact"/>
              <w:rPr>
                <w:rFonts w:hint="eastAsia" w:ascii="宋体" w:hAnsi="宋体" w:eastAsia="宋体" w:cs="宋体"/>
                <w:sz w:val="24"/>
                <w:szCs w:val="24"/>
                <w:lang w:val="en-US" w:eastAsia="zh-CN"/>
              </w:rPr>
            </w:pP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账  号：</w:t>
            </w:r>
            <w:r>
              <w:rPr>
                <w:rFonts w:hint="eastAsia" w:ascii="宋体" w:hAnsi="宋体" w:eastAsia="宋体" w:cs="宋体"/>
                <w:sz w:val="24"/>
                <w:szCs w:val="24"/>
                <w:lang w:val="en-US" w:eastAsia="zh-CN"/>
              </w:rPr>
              <w:t xml:space="preserve"> </w:t>
            </w:r>
          </w:p>
          <w:p>
            <w:pPr>
              <w:spacing w:line="400" w:lineRule="exact"/>
              <w:rPr>
                <w:rFonts w:hint="eastAsia" w:ascii="宋体" w:hAnsi="宋体" w:eastAsia="宋体" w:cs="宋体"/>
                <w:b/>
                <w:sz w:val="24"/>
                <w:lang w:eastAsia="zh-CN"/>
              </w:rPr>
            </w:pPr>
            <w:r>
              <w:rPr>
                <w:rFonts w:hint="eastAsia" w:ascii="宋体" w:hAnsi="宋体" w:eastAsia="宋体" w:cs="宋体"/>
                <w:sz w:val="24"/>
                <w:szCs w:val="24"/>
              </w:rPr>
              <w:t>税  号：</w:t>
            </w:r>
            <w:r>
              <w:rPr>
                <w:rFonts w:hint="eastAsia" w:ascii="宋体" w:hAnsi="宋体" w:eastAsia="宋体" w:cs="宋体"/>
                <w:sz w:val="24"/>
                <w:szCs w:val="24"/>
                <w:lang w:val="en-US" w:eastAsia="zh-CN"/>
              </w:rPr>
              <w:t xml:space="preserve"> </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1AB5E"/>
    <w:multiLevelType w:val="singleLevel"/>
    <w:tmpl w:val="E2F1AB5E"/>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2FkZWM0ZDE3YmIwZWRmMTg3YjNhMWZjYzZiMDYifQ=="/>
  </w:docVars>
  <w:rsids>
    <w:rsidRoot w:val="014B663C"/>
    <w:rsid w:val="00173F0A"/>
    <w:rsid w:val="00195B24"/>
    <w:rsid w:val="00325EE0"/>
    <w:rsid w:val="0055247B"/>
    <w:rsid w:val="005F502D"/>
    <w:rsid w:val="005F5F4E"/>
    <w:rsid w:val="00604371"/>
    <w:rsid w:val="00641EA8"/>
    <w:rsid w:val="006C7E6D"/>
    <w:rsid w:val="007046E5"/>
    <w:rsid w:val="007134FC"/>
    <w:rsid w:val="0091741E"/>
    <w:rsid w:val="00933851"/>
    <w:rsid w:val="00957821"/>
    <w:rsid w:val="00970443"/>
    <w:rsid w:val="00A92EF7"/>
    <w:rsid w:val="00AC1E37"/>
    <w:rsid w:val="00D22DD0"/>
    <w:rsid w:val="00D77774"/>
    <w:rsid w:val="00DF5BC5"/>
    <w:rsid w:val="00FF4E8F"/>
    <w:rsid w:val="014B663C"/>
    <w:rsid w:val="018368C5"/>
    <w:rsid w:val="02860334"/>
    <w:rsid w:val="030C4359"/>
    <w:rsid w:val="038325D2"/>
    <w:rsid w:val="041D6B19"/>
    <w:rsid w:val="05B80C59"/>
    <w:rsid w:val="05C32165"/>
    <w:rsid w:val="06147E59"/>
    <w:rsid w:val="073B4D1B"/>
    <w:rsid w:val="086C15DF"/>
    <w:rsid w:val="09742F12"/>
    <w:rsid w:val="0AED3A0A"/>
    <w:rsid w:val="0B066275"/>
    <w:rsid w:val="0B0E7BE8"/>
    <w:rsid w:val="0B4D5F60"/>
    <w:rsid w:val="0B7B750E"/>
    <w:rsid w:val="0B835865"/>
    <w:rsid w:val="0BE73290"/>
    <w:rsid w:val="0CA62B89"/>
    <w:rsid w:val="0D917578"/>
    <w:rsid w:val="0DF614EC"/>
    <w:rsid w:val="0E2240AB"/>
    <w:rsid w:val="0E2D430A"/>
    <w:rsid w:val="0E39393F"/>
    <w:rsid w:val="0E50329C"/>
    <w:rsid w:val="0EA031D7"/>
    <w:rsid w:val="0ED25E35"/>
    <w:rsid w:val="0F6C75BC"/>
    <w:rsid w:val="0F7C347B"/>
    <w:rsid w:val="0F9A0C24"/>
    <w:rsid w:val="101E3DAE"/>
    <w:rsid w:val="103D1732"/>
    <w:rsid w:val="10AD1A11"/>
    <w:rsid w:val="111E4B76"/>
    <w:rsid w:val="11572B7F"/>
    <w:rsid w:val="117D54EA"/>
    <w:rsid w:val="11A02DE7"/>
    <w:rsid w:val="12383C47"/>
    <w:rsid w:val="123E4554"/>
    <w:rsid w:val="12C762A2"/>
    <w:rsid w:val="12E52961"/>
    <w:rsid w:val="14A95DAA"/>
    <w:rsid w:val="14B045B4"/>
    <w:rsid w:val="14CB5123"/>
    <w:rsid w:val="15086CD7"/>
    <w:rsid w:val="1528122B"/>
    <w:rsid w:val="15800A2C"/>
    <w:rsid w:val="16B04461"/>
    <w:rsid w:val="16BE50DE"/>
    <w:rsid w:val="173B4609"/>
    <w:rsid w:val="183D46C3"/>
    <w:rsid w:val="18426850"/>
    <w:rsid w:val="19FD2E8B"/>
    <w:rsid w:val="1A1A668F"/>
    <w:rsid w:val="1AB821EA"/>
    <w:rsid w:val="1AC34566"/>
    <w:rsid w:val="1AC63BF0"/>
    <w:rsid w:val="1AD2126F"/>
    <w:rsid w:val="1AD96199"/>
    <w:rsid w:val="1C00320C"/>
    <w:rsid w:val="1C8E2C3B"/>
    <w:rsid w:val="1CD803B8"/>
    <w:rsid w:val="1D9E503C"/>
    <w:rsid w:val="1DD84B58"/>
    <w:rsid w:val="1E695606"/>
    <w:rsid w:val="1F3D7829"/>
    <w:rsid w:val="1FB95966"/>
    <w:rsid w:val="204B6589"/>
    <w:rsid w:val="205B3837"/>
    <w:rsid w:val="22817FEB"/>
    <w:rsid w:val="22D52444"/>
    <w:rsid w:val="23FB30EE"/>
    <w:rsid w:val="24377A53"/>
    <w:rsid w:val="2535271F"/>
    <w:rsid w:val="25C12DBA"/>
    <w:rsid w:val="25FD3EBB"/>
    <w:rsid w:val="268B3031"/>
    <w:rsid w:val="26DF1AEE"/>
    <w:rsid w:val="276C23A5"/>
    <w:rsid w:val="27A2166D"/>
    <w:rsid w:val="27C4747E"/>
    <w:rsid w:val="282C0854"/>
    <w:rsid w:val="285D1B10"/>
    <w:rsid w:val="28B50A34"/>
    <w:rsid w:val="28FF1CF7"/>
    <w:rsid w:val="29B71559"/>
    <w:rsid w:val="29FE72DD"/>
    <w:rsid w:val="2A3B5CCB"/>
    <w:rsid w:val="2A9A2583"/>
    <w:rsid w:val="2AE0600C"/>
    <w:rsid w:val="2B311DB7"/>
    <w:rsid w:val="2B335BF8"/>
    <w:rsid w:val="2CE33F5E"/>
    <w:rsid w:val="2D3939E2"/>
    <w:rsid w:val="2D635C13"/>
    <w:rsid w:val="2E922BF6"/>
    <w:rsid w:val="2F02019E"/>
    <w:rsid w:val="2F17377A"/>
    <w:rsid w:val="2F366898"/>
    <w:rsid w:val="2F921DD4"/>
    <w:rsid w:val="2FCC1679"/>
    <w:rsid w:val="30376C4D"/>
    <w:rsid w:val="30B956C9"/>
    <w:rsid w:val="317561B2"/>
    <w:rsid w:val="32141A4A"/>
    <w:rsid w:val="32675D70"/>
    <w:rsid w:val="33797F35"/>
    <w:rsid w:val="33C5274B"/>
    <w:rsid w:val="3455575A"/>
    <w:rsid w:val="34B57D37"/>
    <w:rsid w:val="352927B8"/>
    <w:rsid w:val="355E1098"/>
    <w:rsid w:val="372164C1"/>
    <w:rsid w:val="3732571E"/>
    <w:rsid w:val="396E7F55"/>
    <w:rsid w:val="398048E2"/>
    <w:rsid w:val="39D101F5"/>
    <w:rsid w:val="3BCC24F1"/>
    <w:rsid w:val="3DBB238D"/>
    <w:rsid w:val="3DD05E38"/>
    <w:rsid w:val="3E2739C2"/>
    <w:rsid w:val="3F773FC1"/>
    <w:rsid w:val="3F96361D"/>
    <w:rsid w:val="3FE55C8D"/>
    <w:rsid w:val="40607076"/>
    <w:rsid w:val="40ED5F6D"/>
    <w:rsid w:val="41252975"/>
    <w:rsid w:val="412D058B"/>
    <w:rsid w:val="41326E0A"/>
    <w:rsid w:val="41AD5AC5"/>
    <w:rsid w:val="42650503"/>
    <w:rsid w:val="42AC247F"/>
    <w:rsid w:val="4355321E"/>
    <w:rsid w:val="43EC14F2"/>
    <w:rsid w:val="4473323D"/>
    <w:rsid w:val="451075FB"/>
    <w:rsid w:val="457601AE"/>
    <w:rsid w:val="45E837C1"/>
    <w:rsid w:val="46F46212"/>
    <w:rsid w:val="484C6A03"/>
    <w:rsid w:val="491D12CF"/>
    <w:rsid w:val="49DE1F93"/>
    <w:rsid w:val="4A9855AF"/>
    <w:rsid w:val="4AEF294A"/>
    <w:rsid w:val="4AF1414D"/>
    <w:rsid w:val="4B327661"/>
    <w:rsid w:val="4C352541"/>
    <w:rsid w:val="4C516396"/>
    <w:rsid w:val="4C6C13EF"/>
    <w:rsid w:val="4C9C13E0"/>
    <w:rsid w:val="4D557BB2"/>
    <w:rsid w:val="4DD66562"/>
    <w:rsid w:val="4E0C4E5F"/>
    <w:rsid w:val="4F8B43D6"/>
    <w:rsid w:val="4FF53C23"/>
    <w:rsid w:val="5067746C"/>
    <w:rsid w:val="511D5E24"/>
    <w:rsid w:val="515B1A65"/>
    <w:rsid w:val="520C229A"/>
    <w:rsid w:val="52892BD9"/>
    <w:rsid w:val="53022AA3"/>
    <w:rsid w:val="531F43BF"/>
    <w:rsid w:val="532B579B"/>
    <w:rsid w:val="537E5FE7"/>
    <w:rsid w:val="53AC4AAD"/>
    <w:rsid w:val="53E10B2B"/>
    <w:rsid w:val="53FB4BAB"/>
    <w:rsid w:val="54AF4FF3"/>
    <w:rsid w:val="5513206B"/>
    <w:rsid w:val="55254864"/>
    <w:rsid w:val="560B273A"/>
    <w:rsid w:val="585117B5"/>
    <w:rsid w:val="586809B1"/>
    <w:rsid w:val="587C29ED"/>
    <w:rsid w:val="588605EF"/>
    <w:rsid w:val="596140F4"/>
    <w:rsid w:val="5A9A6247"/>
    <w:rsid w:val="5AD35FF0"/>
    <w:rsid w:val="5BDB4FF3"/>
    <w:rsid w:val="5DCD3EB3"/>
    <w:rsid w:val="5DEE5AFC"/>
    <w:rsid w:val="5E107AD5"/>
    <w:rsid w:val="5EE5676D"/>
    <w:rsid w:val="5EF0285E"/>
    <w:rsid w:val="60104B28"/>
    <w:rsid w:val="60975C51"/>
    <w:rsid w:val="615E35D8"/>
    <w:rsid w:val="62491E0E"/>
    <w:rsid w:val="62936C1B"/>
    <w:rsid w:val="62DE1DD6"/>
    <w:rsid w:val="631E1C3E"/>
    <w:rsid w:val="6325741E"/>
    <w:rsid w:val="633753EE"/>
    <w:rsid w:val="63B00CEE"/>
    <w:rsid w:val="6401024A"/>
    <w:rsid w:val="644F4FF4"/>
    <w:rsid w:val="646E76F1"/>
    <w:rsid w:val="651935EF"/>
    <w:rsid w:val="65233F1E"/>
    <w:rsid w:val="65D2271B"/>
    <w:rsid w:val="66550F73"/>
    <w:rsid w:val="67837652"/>
    <w:rsid w:val="68084A1B"/>
    <w:rsid w:val="685C7E38"/>
    <w:rsid w:val="6A82627A"/>
    <w:rsid w:val="6B2B2444"/>
    <w:rsid w:val="6BC148AC"/>
    <w:rsid w:val="6C61455E"/>
    <w:rsid w:val="6C9E1916"/>
    <w:rsid w:val="6D3129C3"/>
    <w:rsid w:val="6D337EAB"/>
    <w:rsid w:val="6D6655C2"/>
    <w:rsid w:val="6D854D0E"/>
    <w:rsid w:val="6E7F23AC"/>
    <w:rsid w:val="6F1572A0"/>
    <w:rsid w:val="6F4B7002"/>
    <w:rsid w:val="6FDF5F25"/>
    <w:rsid w:val="700056D1"/>
    <w:rsid w:val="702C7F58"/>
    <w:rsid w:val="70F67233"/>
    <w:rsid w:val="72DC2BE4"/>
    <w:rsid w:val="731B7488"/>
    <w:rsid w:val="741D1838"/>
    <w:rsid w:val="7437592D"/>
    <w:rsid w:val="74E03EAC"/>
    <w:rsid w:val="76283D5C"/>
    <w:rsid w:val="76286F08"/>
    <w:rsid w:val="7783362C"/>
    <w:rsid w:val="782D57C9"/>
    <w:rsid w:val="79374CC9"/>
    <w:rsid w:val="793C36EA"/>
    <w:rsid w:val="7A1477FE"/>
    <w:rsid w:val="7AA67D61"/>
    <w:rsid w:val="7B4D7639"/>
    <w:rsid w:val="7BAD4005"/>
    <w:rsid w:val="7D364472"/>
    <w:rsid w:val="7DC73FEB"/>
    <w:rsid w:val="7EB43B92"/>
    <w:rsid w:val="7F684BC1"/>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outlineLvl w:val="0"/>
    </w:pPr>
    <w:rPr>
      <w:rFonts w:ascii="Cambria" w:hAnsi="Cambria"/>
      <w:b/>
      <w:bCs/>
      <w:kern w:val="32"/>
      <w:sz w:val="32"/>
      <w:szCs w:val="32"/>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hAnsi="宋体" w:eastAsia="宋体" w:cs="宋体"/>
      <w:sz w:val="32"/>
      <w:szCs w:val="32"/>
      <w:lang w:val="zh-CN" w:bidi="zh-CN"/>
    </w:rPr>
  </w:style>
  <w:style w:type="paragraph" w:styleId="5">
    <w:name w:val="Plain Text"/>
    <w:basedOn w:val="1"/>
    <w:qFormat/>
    <w:uiPriority w:val="0"/>
    <w:rPr>
      <w:rFonts w:ascii="宋体" w:hAnsi="宋体" w:eastAsia="楷体_GB2312"/>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4"/>
    <w:qFormat/>
    <w:uiPriority w:val="0"/>
    <w:pPr>
      <w:ind w:firstLine="420" w:firstLineChars="100"/>
    </w:pPr>
  </w:style>
  <w:style w:type="character" w:customStyle="1" w:styleId="11">
    <w:name w:val="NormalCharacter"/>
    <w:qFormat/>
    <w:uiPriority w:val="0"/>
  </w:style>
  <w:style w:type="paragraph" w:customStyle="1" w:styleId="12">
    <w:name w:val="正文首行缩进1"/>
    <w:basedOn w:val="4"/>
    <w:qFormat/>
    <w:uiPriority w:val="0"/>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4020</Words>
  <Characters>4396</Characters>
  <Lines>35</Lines>
  <Paragraphs>10</Paragraphs>
  <TotalTime>169</TotalTime>
  <ScaleCrop>false</ScaleCrop>
  <LinksUpToDate>false</LinksUpToDate>
  <CharactersWithSpaces>4564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2022-05-13T00:59:00Z</dcterms:created>
  <dc:creator>思念</dc:creator>
  <cp:lastModifiedBy>Dell</cp:lastModifiedBy>
  <cp:lastPrinted>2023-11-01T03:33:00Z</cp:lastPrinted>
  <dcterms:modified xsi:type="dcterms:W3CDTF">2024-12-23T07:39:51Z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E6F3BBFA5AF14E62B6D3D04857FFA3B8_13</vt:lpwstr>
  </property>
</Properties>
</file>